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BỘ TÀI CHÍNH</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65/2026/TT-BTC</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Hà Nội, ngày 11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color w:val="000000"/>
          <w:rtl w:val="0"/>
        </w:rPr>
        <w:t>SỬA ĐỔI, BỔ SUNG MỘT SỐ ĐIỀU CỦA THÔNG TƯ SỐ 320/2016/TT-BTC CỦA BỘ TRƯỞNG BỘ TÀI CHÍNH QUY ĐỊNH CHẾ ĐỘ BỒI DƯỠNG ĐỐI VỚI NGƯỜI LÀM NHIỆM VỤ TIẾP CÔNG DÂN, XỬ LÝ ĐƠN KHIẾU NẠI, TỐ CÁO, KIẾN NGHỊ, PHẢN ÁNH</w:t>
      </w:r>
      <w:bookmarkEnd w:id="1"/>
    </w:p>
    <w:p>
      <w:pPr>
        <w:bidi w:val="0"/>
        <w:spacing w:before="120" w:beforeAutospacing="0" w:after="280" w:afterAutospacing="1"/>
      </w:pPr>
      <w:r>
        <w:rPr>
          <w:i/>
          <w:iCs/>
          <w:color w:val="000000"/>
          <w:rtl w:val="0"/>
        </w:rPr>
        <w:t xml:space="preserve">Căn cứ </w:t>
      </w:r>
      <w:bookmarkStart w:id="2" w:name="tvpllink_wmctndtokn"/>
      <w:r>
        <w:rPr>
          <w:i/>
          <w:iCs/>
          <w:color w:val="000000"/>
          <w:rtl w:val="0"/>
        </w:rPr>
        <w:t>Luật Ban hành văn bản quy phạm pháp luật số 64/2025/QH15</w:t>
      </w:r>
      <w:bookmarkEnd w:id="2"/>
      <w:r>
        <w:rPr>
          <w:i/>
          <w:iCs/>
          <w:color w:val="000000"/>
          <w:rtl w:val="0"/>
        </w:rPr>
        <w:t xml:space="preserve"> được sửa đổi, bổ sung bởi Luật số </w:t>
      </w:r>
      <w:bookmarkStart w:id="3" w:name="tvpllink_bpqnxsxopt"/>
      <w:r>
        <w:rPr>
          <w:i/>
          <w:iCs/>
          <w:color w:val="000000"/>
          <w:rtl w:val="0"/>
        </w:rPr>
        <w:t>87/2025/QH15</w:t>
      </w:r>
      <w:bookmarkEnd w:id="3"/>
      <w:r>
        <w:rPr>
          <w:i/>
          <w:iCs/>
          <w:color w:val="000000"/>
          <w:rtl w:val="0"/>
        </w:rPr>
        <w:t>;</w:t>
      </w:r>
    </w:p>
    <w:p>
      <w:pPr>
        <w:bidi w:val="0"/>
        <w:spacing w:before="120" w:beforeAutospacing="0" w:after="280" w:afterAutospacing="1"/>
      </w:pPr>
      <w:r>
        <w:rPr>
          <w:i/>
          <w:iCs/>
          <w:color w:val="000000"/>
          <w:rtl w:val="0"/>
        </w:rPr>
        <w:t xml:space="preserve">Căn cứ </w:t>
      </w:r>
      <w:bookmarkStart w:id="4" w:name="tvpllink_vvgjhunbih"/>
      <w:r>
        <w:rPr>
          <w:i/>
          <w:iCs/>
          <w:color w:val="000000"/>
          <w:rtl w:val="0"/>
        </w:rPr>
        <w:t>Luật Ngân sách nhà nước số 89/2025/QH15</w:t>
      </w:r>
      <w:bookmarkEnd w:id="4"/>
      <w:r>
        <w:rPr>
          <w:i/>
          <w:iCs/>
          <w:color w:val="000000"/>
          <w:rtl w:val="0"/>
        </w:rPr>
        <w:t>;</w:t>
      </w:r>
    </w:p>
    <w:p>
      <w:pPr>
        <w:bidi w:val="0"/>
        <w:spacing w:before="120" w:beforeAutospacing="0" w:after="280" w:afterAutospacing="1"/>
      </w:pPr>
      <w:r>
        <w:rPr>
          <w:i/>
          <w:iCs/>
          <w:color w:val="000000"/>
          <w:rtl w:val="0"/>
        </w:rPr>
        <w:t xml:space="preserve">Căn cứ </w:t>
      </w:r>
      <w:bookmarkStart w:id="5" w:name="tvpllink_sobjkjeuhk"/>
      <w:r>
        <w:rPr>
          <w:i/>
          <w:iCs/>
          <w:color w:val="000000"/>
          <w:rtl w:val="0"/>
        </w:rPr>
        <w:t>Luật Tiếp công dân số 42/2013/QH13</w:t>
      </w:r>
      <w:bookmarkEnd w:id="5"/>
      <w:r>
        <w:rPr>
          <w:i/>
          <w:iCs/>
          <w:color w:val="000000"/>
          <w:rtl w:val="0"/>
        </w:rPr>
        <w:t xml:space="preserve"> được sửa đổi, bổ sung bởi Luật số </w:t>
      </w:r>
      <w:bookmarkStart w:id="6" w:name="tvpllink_frfotglcrp"/>
      <w:r>
        <w:rPr>
          <w:i/>
          <w:iCs/>
          <w:color w:val="000000"/>
          <w:rtl w:val="0"/>
        </w:rPr>
        <w:t>136/2025/QH15</w:t>
      </w:r>
      <w:bookmarkEnd w:id="6"/>
      <w:r>
        <w:rPr>
          <w:i/>
          <w:iCs/>
          <w:color w:val="000000"/>
          <w:rtl w:val="0"/>
        </w:rPr>
        <w:t>;</w:t>
      </w:r>
    </w:p>
    <w:p>
      <w:pPr>
        <w:bidi w:val="0"/>
        <w:spacing w:before="120" w:beforeAutospacing="0" w:after="280" w:afterAutospacing="1"/>
      </w:pPr>
      <w:r>
        <w:rPr>
          <w:i/>
          <w:iCs/>
          <w:color w:val="000000"/>
          <w:rtl w:val="0"/>
        </w:rPr>
        <w:t xml:space="preserve">Căn cứ </w:t>
      </w:r>
      <w:bookmarkStart w:id="7" w:name="tvpllink_cgpoduumea"/>
      <w:r>
        <w:rPr>
          <w:i/>
          <w:iCs/>
          <w:color w:val="000000"/>
          <w:rtl w:val="0"/>
        </w:rPr>
        <w:t>Luật Khiếu nại số 02/2011/QH13</w:t>
      </w:r>
      <w:bookmarkEnd w:id="7"/>
      <w:r>
        <w:rPr>
          <w:i/>
          <w:iCs/>
          <w:color w:val="000000"/>
          <w:rtl w:val="0"/>
        </w:rPr>
        <w:t xml:space="preserve"> được sửa đổi, bổ sung bởi Luật số </w:t>
      </w:r>
      <w:bookmarkStart w:id="8" w:name="tvpllink_sobjkjeuhk_1"/>
      <w:r>
        <w:rPr>
          <w:i/>
          <w:iCs/>
          <w:color w:val="000000"/>
          <w:rtl w:val="0"/>
        </w:rPr>
        <w:t>42/2013/QH13</w:t>
      </w:r>
      <w:bookmarkEnd w:id="8"/>
      <w:r>
        <w:rPr>
          <w:i/>
          <w:iCs/>
          <w:color w:val="000000"/>
          <w:rtl w:val="0"/>
        </w:rPr>
        <w:t xml:space="preserve">, Luật số </w:t>
      </w:r>
      <w:bookmarkStart w:id="9" w:name="tvpllink_cmmykeugxp"/>
      <w:r>
        <w:rPr>
          <w:i/>
          <w:iCs/>
          <w:color w:val="000000"/>
          <w:rtl w:val="0"/>
        </w:rPr>
        <w:t>81/2025/QH15</w:t>
      </w:r>
      <w:bookmarkEnd w:id="9"/>
      <w:r>
        <w:rPr>
          <w:i/>
          <w:iCs/>
          <w:color w:val="000000"/>
          <w:rtl w:val="0"/>
        </w:rPr>
        <w:t xml:space="preserve">, Luật số </w:t>
      </w:r>
      <w:bookmarkStart w:id="10" w:name="tvpllink_ggbzrkgkjh"/>
      <w:r>
        <w:rPr>
          <w:i/>
          <w:iCs/>
          <w:color w:val="000000"/>
          <w:rtl w:val="0"/>
        </w:rPr>
        <w:t>84/2025/QH15</w:t>
      </w:r>
      <w:bookmarkEnd w:id="10"/>
      <w:r>
        <w:rPr>
          <w:i/>
          <w:iCs/>
          <w:color w:val="000000"/>
          <w:rtl w:val="0"/>
        </w:rPr>
        <w:t xml:space="preserve"> và Luật số </w:t>
      </w:r>
      <w:bookmarkStart w:id="11" w:name="tvpllink_frfotglcrp_1"/>
      <w:r>
        <w:rPr>
          <w:i/>
          <w:iCs/>
          <w:color w:val="000000"/>
          <w:rtl w:val="0"/>
        </w:rPr>
        <w:t>136/2025/QH15</w:t>
      </w:r>
      <w:bookmarkEnd w:id="11"/>
      <w:r>
        <w:rPr>
          <w:i/>
          <w:iCs/>
          <w:color w:val="000000"/>
          <w:rtl w:val="0"/>
        </w:rPr>
        <w:t>;</w:t>
      </w:r>
    </w:p>
    <w:p>
      <w:pPr>
        <w:bidi w:val="0"/>
        <w:spacing w:before="120" w:beforeAutospacing="0" w:after="280" w:afterAutospacing="1"/>
      </w:pPr>
      <w:r>
        <w:rPr>
          <w:i/>
          <w:iCs/>
          <w:color w:val="000000"/>
          <w:rtl w:val="0"/>
        </w:rPr>
        <w:t xml:space="preserve">Căn cứ </w:t>
      </w:r>
      <w:bookmarkStart w:id="12" w:name="tvpllink_hgtiilxnmk"/>
      <w:r>
        <w:rPr>
          <w:i/>
          <w:iCs/>
          <w:color w:val="000000"/>
          <w:rtl w:val="0"/>
        </w:rPr>
        <w:t>Luật Tố cáo số 25/2018/QH14</w:t>
      </w:r>
      <w:bookmarkEnd w:id="12"/>
      <w:r>
        <w:rPr>
          <w:i/>
          <w:iCs/>
          <w:color w:val="000000"/>
          <w:rtl w:val="0"/>
        </w:rPr>
        <w:t xml:space="preserve"> được sửa đổi, bổ sung bởi Luật số </w:t>
      </w:r>
      <w:bookmarkStart w:id="13" w:name="tvpllink_sobjkjeuhk_2"/>
      <w:r>
        <w:rPr>
          <w:i/>
          <w:iCs/>
          <w:color w:val="000000"/>
          <w:rtl w:val="0"/>
        </w:rPr>
        <w:t>42/2013/QH13</w:t>
      </w:r>
      <w:bookmarkEnd w:id="13"/>
      <w:r>
        <w:rPr>
          <w:i/>
          <w:iCs/>
          <w:color w:val="000000"/>
          <w:rtl w:val="0"/>
        </w:rPr>
        <w:t xml:space="preserve">, Luật số </w:t>
      </w:r>
      <w:bookmarkStart w:id="14" w:name="tvpllink_cmmykeugxp_1"/>
      <w:r>
        <w:rPr>
          <w:i/>
          <w:iCs/>
          <w:color w:val="000000"/>
          <w:rtl w:val="0"/>
        </w:rPr>
        <w:t>81/2025/QH15</w:t>
      </w:r>
      <w:bookmarkEnd w:id="14"/>
      <w:r>
        <w:rPr>
          <w:i/>
          <w:iCs/>
          <w:color w:val="000000"/>
          <w:rtl w:val="0"/>
        </w:rPr>
        <w:t xml:space="preserve">, Luật số </w:t>
      </w:r>
      <w:bookmarkStart w:id="15" w:name="tvpllink_ggbzrkgkjh_1"/>
      <w:r>
        <w:rPr>
          <w:i/>
          <w:iCs/>
          <w:color w:val="000000"/>
          <w:rtl w:val="0"/>
        </w:rPr>
        <w:t>84/2025/QH15</w:t>
      </w:r>
      <w:bookmarkEnd w:id="15"/>
      <w:r>
        <w:rPr>
          <w:i/>
          <w:iCs/>
          <w:color w:val="000000"/>
          <w:rtl w:val="0"/>
        </w:rPr>
        <w:t xml:space="preserve"> và Luật </w:t>
      </w:r>
      <w:bookmarkStart w:id="16" w:name="tvpllink_frfotglcrp_2"/>
      <w:r>
        <w:rPr>
          <w:i/>
          <w:iCs/>
          <w:color w:val="000000"/>
          <w:rtl w:val="0"/>
        </w:rPr>
        <w:t>136/2025/QH15</w:t>
      </w:r>
      <w:bookmarkEnd w:id="16"/>
      <w:r>
        <w:rPr>
          <w:i/>
          <w:iCs/>
          <w:color w:val="000000"/>
          <w:rtl w:val="0"/>
        </w:rPr>
        <w:t>;</w:t>
      </w:r>
    </w:p>
    <w:p>
      <w:pPr>
        <w:bidi w:val="0"/>
        <w:spacing w:before="120" w:beforeAutospacing="0" w:after="280" w:afterAutospacing="1"/>
      </w:pPr>
      <w:r>
        <w:rPr>
          <w:i/>
          <w:iCs/>
          <w:color w:val="000000"/>
          <w:rtl w:val="0"/>
        </w:rPr>
        <w:t xml:space="preserve">Căn cứ Nghị định số </w:t>
      </w:r>
      <w:bookmarkStart w:id="17" w:name="tvpllink_pbixpgnjng"/>
      <w:r>
        <w:rPr>
          <w:i/>
          <w:iCs/>
          <w:color w:val="000000"/>
          <w:rtl w:val="0"/>
        </w:rPr>
        <w:t>154/2026/NĐ-CP</w:t>
      </w:r>
      <w:bookmarkEnd w:id="17"/>
      <w:r>
        <w:rPr>
          <w:i/>
          <w:iCs/>
          <w:color w:val="000000"/>
          <w:rtl w:val="0"/>
        </w:rPr>
        <w:t xml:space="preserve"> của Chính phủ quy định chi tiết một số điều và biện pháp tổ chức thi hành </w:t>
      </w:r>
      <w:bookmarkStart w:id="18" w:name="tvpllink_sobjkjeuhk_3"/>
      <w:r>
        <w:rPr>
          <w:i/>
          <w:iCs/>
          <w:color w:val="000000"/>
          <w:rtl w:val="0"/>
        </w:rPr>
        <w:t>Luật Tiếp công dân</w:t>
      </w:r>
      <w:bookmarkEnd w:id="18"/>
      <w:r>
        <w:rPr>
          <w:i/>
          <w:iCs/>
          <w:color w:val="000000"/>
          <w:rtl w:val="0"/>
        </w:rPr>
        <w:t>;</w:t>
      </w:r>
    </w:p>
    <w:p>
      <w:pPr>
        <w:bidi w:val="0"/>
        <w:spacing w:before="120" w:beforeAutospacing="0" w:after="280" w:afterAutospacing="1"/>
      </w:pPr>
      <w:r>
        <w:rPr>
          <w:i/>
          <w:iCs/>
          <w:color w:val="000000"/>
          <w:rtl w:val="0"/>
        </w:rPr>
        <w:t xml:space="preserve">Căn cứ Nghị định số </w:t>
      </w:r>
      <w:bookmarkStart w:id="19" w:name="tvpllink_zqgikwvojp"/>
      <w:r>
        <w:rPr>
          <w:i/>
          <w:iCs/>
          <w:color w:val="000000"/>
          <w:rtl w:val="0"/>
        </w:rPr>
        <w:t>29/2025/NĐ-CP</w:t>
      </w:r>
      <w:bookmarkEnd w:id="19"/>
      <w:r>
        <w:rPr>
          <w:i/>
          <w:iCs/>
          <w:color w:val="000000"/>
          <w:rtl w:val="0"/>
        </w:rPr>
        <w:t xml:space="preserve"> của Chính phủ quy định chức năng, nhiệm vụ, quyền hạn và cơ cấu tổ chức của Bộ Tài chính được sửa đổi, bổ sung một số điều bởi Nghị định số </w:t>
      </w:r>
      <w:bookmarkStart w:id="20" w:name="tvpllink_gbdquckkli"/>
      <w:r>
        <w:rPr>
          <w:i/>
          <w:iCs/>
          <w:color w:val="000000"/>
          <w:rtl w:val="0"/>
        </w:rPr>
        <w:t>166/2025/NĐ-CP</w:t>
      </w:r>
      <w:bookmarkEnd w:id="20"/>
      <w:r>
        <w:rPr>
          <w:i/>
          <w:iCs/>
          <w:color w:val="000000"/>
          <w:rtl w:val="0"/>
        </w:rPr>
        <w:t>;</w:t>
      </w:r>
    </w:p>
    <w:p>
      <w:pPr>
        <w:bidi w:val="0"/>
        <w:spacing w:before="120" w:beforeAutospacing="0" w:after="280" w:afterAutospacing="1"/>
      </w:pPr>
      <w:r>
        <w:rPr>
          <w:i/>
          <w:iCs/>
          <w:color w:val="000000"/>
          <w:rtl w:val="0"/>
        </w:rPr>
        <w:t>Theo đề nghị của Vụ trưởng Vụ Tài chính - Kinh tế ngành:</w:t>
      </w:r>
    </w:p>
    <w:p>
      <w:pPr>
        <w:bidi w:val="0"/>
        <w:spacing w:before="120" w:beforeAutospacing="0" w:after="280" w:afterAutospacing="1"/>
      </w:pPr>
      <w:r>
        <w:rPr>
          <w:i/>
          <w:iCs/>
          <w:color w:val="000000"/>
          <w:rtl w:val="0"/>
        </w:rPr>
        <w:t xml:space="preserve">Bộ trưởng Bộ Tài chính ban hành Thông tư sửa đổi, bổ sung một số điều của Thông tư số </w:t>
      </w:r>
      <w:bookmarkStart w:id="21" w:name="tvpllink_rmlkyroldw"/>
      <w:r>
        <w:rPr>
          <w:i/>
          <w:iCs/>
          <w:color w:val="000000"/>
          <w:rtl w:val="0"/>
        </w:rPr>
        <w:t>320/2016/TT-BTC</w:t>
      </w:r>
      <w:bookmarkEnd w:id="21"/>
      <w:r>
        <w:rPr>
          <w:i/>
          <w:iCs/>
          <w:color w:val="000000"/>
          <w:rtl w:val="0"/>
        </w:rPr>
        <w:t xml:space="preserve"> của Bộ trưởng Bộ Tài chính quy định chế độ bồi dưỡng đối với người làm nhiệm vụ tiếp công dân, xử lý đơn khiếu nại, tố cáo, kiến nghị, phản ánh.</w:t>
      </w:r>
    </w:p>
    <w:p>
      <w:pPr>
        <w:bidi w:val="0"/>
        <w:spacing w:before="120" w:beforeAutospacing="0" w:after="280" w:afterAutospacing="1"/>
      </w:pPr>
      <w:bookmarkStart w:id="22" w:name="dieu_1"/>
      <w:r>
        <w:rPr>
          <w:b/>
          <w:bCs/>
          <w:color w:val="000000"/>
          <w:rtl w:val="0"/>
        </w:rPr>
        <w:t>Điều 1. Sửa đổi, bổ sung</w:t>
      </w:r>
      <w:bookmarkEnd w:id="22"/>
      <w:r>
        <w:rPr>
          <w:b/>
          <w:bCs/>
          <w:color w:val="000000"/>
          <w:rtl w:val="0"/>
        </w:rPr>
        <w:t xml:space="preserve"> </w:t>
      </w:r>
      <w:bookmarkStart w:id="23" w:name="dc_1"/>
      <w:r>
        <w:rPr>
          <w:b/>
          <w:bCs/>
          <w:color w:val="000000"/>
          <w:rtl w:val="0"/>
        </w:rPr>
        <w:t>Điều 4 Thông tư số 320/2016/TT-BTC</w:t>
      </w:r>
      <w:bookmarkEnd w:id="23"/>
      <w:r>
        <w:rPr>
          <w:b/>
          <w:bCs/>
          <w:color w:val="000000"/>
          <w:rtl w:val="0"/>
        </w:rPr>
        <w:t xml:space="preserve"> </w:t>
      </w:r>
      <w:bookmarkStart w:id="24" w:name="dieu_1_name"/>
      <w:r>
        <w:rPr>
          <w:b/>
          <w:bCs/>
          <w:color w:val="000000"/>
          <w:rtl w:val="0"/>
        </w:rPr>
        <w:t>của Bộ trưởng Bộ Tài chính quy định chế độ bồi dưỡng đối với người làm nhiệm vụ tiếp công dân, xử lý đơn khiếu nại, tố cáo, kiến nghị, phản ánh (sau đây gọi là Thông tư số 320/2016/TT-BTC) như sau:</w:t>
      </w:r>
      <w:bookmarkEnd w:id="24"/>
    </w:p>
    <w:p>
      <w:pPr>
        <w:bidi w:val="0"/>
        <w:spacing w:before="120" w:beforeAutospacing="0" w:after="280" w:afterAutospacing="1"/>
      </w:pPr>
      <w:r>
        <w:rPr>
          <w:b/>
          <w:bCs/>
          <w:color w:val="000000"/>
          <w:rtl w:val="0"/>
        </w:rPr>
        <w:t>“Điều 4. Mức chi</w:t>
      </w:r>
    </w:p>
    <w:p>
      <w:pPr>
        <w:bidi w:val="0"/>
        <w:spacing w:before="120" w:beforeAutospacing="0" w:after="280" w:afterAutospacing="1"/>
      </w:pPr>
      <w:r>
        <w:rPr>
          <w:color w:val="000000"/>
          <w:rtl w:val="0"/>
        </w:rPr>
        <w:t xml:space="preserve">1. Các đối tượng được quy định tại </w:t>
      </w:r>
      <w:bookmarkStart w:id="25" w:name="dc_2"/>
      <w:r>
        <w:rPr>
          <w:color w:val="000000"/>
          <w:rtl w:val="0"/>
        </w:rPr>
        <w:t>khoản 1 và khoản 2 Điều 38 Nghị định số 154/2026/NĐ-CP</w:t>
      </w:r>
      <w:bookmarkEnd w:id="25"/>
      <w:r>
        <w:rPr>
          <w:color w:val="000000"/>
          <w:rtl w:val="0"/>
        </w:rPr>
        <w:t xml:space="preserve"> ngày 15 tháng 5 năm 2026 của Chính phủ quy định chi tiết một số điều và biện pháp tổ chức thi hành </w:t>
      </w:r>
      <w:bookmarkStart w:id="26" w:name="tvpllink_sobjkjeuhk_4"/>
      <w:r>
        <w:rPr>
          <w:color w:val="000000"/>
          <w:rtl w:val="0"/>
        </w:rPr>
        <w:t>Luật Tiếp công dân</w:t>
      </w:r>
      <w:bookmarkEnd w:id="26"/>
      <w:r>
        <w:rPr>
          <w:color w:val="000000"/>
          <w:rtl w:val="0"/>
        </w:rPr>
        <w:t xml:space="preserve"> (sau đây gọi là Nghị định số </w:t>
      </w:r>
      <w:bookmarkStart w:id="27" w:name="tvpllink_pbixpgnjng_1"/>
      <w:r>
        <w:rPr>
          <w:color w:val="000000"/>
          <w:rtl w:val="0"/>
        </w:rPr>
        <w:t>154/2026/NĐ-CP</w:t>
      </w:r>
      <w:bookmarkEnd w:id="27"/>
      <w:r>
        <w:rPr>
          <w:color w:val="000000"/>
          <w:rtl w:val="0"/>
        </w:rPr>
        <w:t>) mà chưa được hưởng chế độ phụ cấp trách nhiệm theo nghề theo quy định hiện hành, khi thực hiện nhiệm vụ tiếp công dân, xử lý đơn khiếu nại, tố cáo, kiến nghị, phản ánh tại Trụ sở tiếp công dân hoặc địa điểm tiếp công dân được bồi dưỡng 200.000 đồng/ngày/người; trường hợp đang được hưởng chế độ phụ cấp trách nhiệm theo nghề theo quy định hiện hành thì được bồi dưỡng 150.000 đồng/ngày/người.</w:t>
      </w:r>
    </w:p>
    <w:p>
      <w:pPr>
        <w:bidi w:val="0"/>
        <w:spacing w:before="120" w:beforeAutospacing="0" w:after="280" w:afterAutospacing="1"/>
      </w:pPr>
      <w:r>
        <w:rPr>
          <w:color w:val="000000"/>
          <w:rtl w:val="0"/>
        </w:rPr>
        <w:t>Cán bộ, công chức được cấp có thẩm quyền giao hoặc phân công thực hiện nhiệm vụ tiếp công dân, xử lý đơn khiếu nại, tố cáo, kiến nghị, phản ánh tại Trụ sở tiếp công dân Trung ương mà chưa được hưởng chế độ phụ cấp trách nhiệm theo nghề theo quy định hiện hành được bồi dưỡng 250.000 đồng/ngày/người; trường hợp đang hưởng chế độ phụ cấp theo nghề theo quy định hiện hành được bồi dưỡng 200.000 đồng/ngày/người.</w:t>
      </w:r>
    </w:p>
    <w:p>
      <w:pPr>
        <w:bidi w:val="0"/>
        <w:spacing w:before="120" w:beforeAutospacing="0" w:after="280" w:afterAutospacing="1"/>
      </w:pPr>
      <w:r>
        <w:rPr>
          <w:color w:val="000000"/>
          <w:rtl w:val="0"/>
        </w:rPr>
        <w:t xml:space="preserve">2. Các đối tượng quy định tại </w:t>
      </w:r>
      <w:bookmarkStart w:id="28" w:name="dc_3"/>
      <w:r>
        <w:rPr>
          <w:color w:val="000000"/>
          <w:rtl w:val="0"/>
        </w:rPr>
        <w:t>khoản 3 và khoản 4 Điều 38 Nghị định số 154/2026/NĐ-CP</w:t>
      </w:r>
      <w:bookmarkEnd w:id="28"/>
      <w:r>
        <w:rPr>
          <w:color w:val="000000"/>
          <w:rtl w:val="0"/>
        </w:rPr>
        <w:t xml:space="preserve"> được bồi dưỡng 100.000 đồng/ngày/người.”</w:t>
      </w:r>
    </w:p>
    <w:p>
      <w:pPr>
        <w:bidi w:val="0"/>
        <w:spacing w:before="120" w:beforeAutospacing="0" w:after="280" w:afterAutospacing="1"/>
      </w:pPr>
      <w:bookmarkStart w:id="29" w:name="dieu_2"/>
      <w:r>
        <w:rPr>
          <w:b/>
          <w:bCs/>
          <w:color w:val="000000"/>
          <w:rtl w:val="0"/>
        </w:rPr>
        <w:t>Điều 2. Điều khoản thi hành</w:t>
      </w:r>
      <w:bookmarkEnd w:id="29"/>
    </w:p>
    <w:p>
      <w:pPr>
        <w:bidi w:val="0"/>
        <w:spacing w:before="120" w:beforeAutospacing="0" w:after="280" w:afterAutospacing="1"/>
      </w:pPr>
      <w:r>
        <w:rPr>
          <w:color w:val="000000"/>
          <w:rtl w:val="0"/>
        </w:rPr>
        <w:t>1. Thông tư này có hiệu lực thi hành từ ngày 27 tháng 7 năm 2026.</w:t>
      </w:r>
    </w:p>
    <w:p>
      <w:pPr>
        <w:bidi w:val="0"/>
        <w:spacing w:before="120" w:beforeAutospacing="0" w:after="280" w:afterAutospacing="1"/>
      </w:pPr>
      <w:r>
        <w:rPr>
          <w:color w:val="000000"/>
          <w:rtl w:val="0"/>
        </w:rPr>
        <w:t>2. Đối với kinh phí chi bồi dưỡng đối với người thực hiện nhiệm vụ tiếp công dân, xử lý đơn khiếu nại, tố cáo, kiến nghị, phản ánh năm 2026, các Bộ, cơ quan ở trung ương, các địa phương sắp xếp trong phạm vi dự toán chi ngân sách nhà nước đã được cấp có thẩm quyền giao, nguồn thu hoạt động sự nghiệp và các nguồn kinh phí khác năm 2026 để thực hiện theo quy định.</w:t>
      </w:r>
    </w:p>
    <w:p>
      <w:pPr>
        <w:bidi w:val="0"/>
        <w:spacing w:before="120" w:beforeAutospacing="0" w:after="280" w:afterAutospacing="1"/>
      </w:pPr>
      <w:r>
        <w:rPr>
          <w:color w:val="000000"/>
          <w:rtl w:val="0"/>
        </w:rPr>
        <w:t>3. Trường hợp các văn bản quy phạm pháp luật được viện dẫn tại Thông tư này được sửa đổi, bổ sung hoặc thay thế bằng văn bản quy phạm pháp luật khác thì thực hiện theo quy định tại văn bản sửa đổi, bổ sung hoặc thay thế đó.</w:t>
      </w:r>
    </w:p>
    <w:p>
      <w:pPr>
        <w:bidi w:val="0"/>
        <w:spacing w:before="120" w:beforeAutospacing="0" w:after="280" w:afterAutospacing="1"/>
      </w:pPr>
      <w:r>
        <w:rPr>
          <w:color w:val="000000"/>
          <w:rtl w:val="0"/>
        </w:rPr>
        <w:t>4. Trong quá trình thực hiện, nếu có khó khăn, vướng mắc, đề nghị các cơ quan, tổ chức, đơn vị kịp thời phản ánh về Bộ Tài chính để nghiên cứu, hướng dẫn, giải quyết./.</w:t>
      </w:r>
    </w:p>
    <w:p>
      <w:pPr>
        <w:bidi w:val="0"/>
        <w:spacing w:before="120" w:beforeAutospacing="0" w:after="280" w:afterAutospacing="1"/>
      </w:pPr>
      <w:r>
        <w:rPr>
          <w:color w:val="000000"/>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Văn phòng Tổng Bí thư;</w:t>
            </w:r>
            <w:r>
              <w:rPr>
                <w:sz w:val="16"/>
                <w:rtl w:val="0"/>
              </w:rPr>
              <w:br/>
            </w:r>
            <w:r>
              <w:rPr>
                <w:sz w:val="16"/>
                <w:rtl w:val="0"/>
              </w:rPr>
              <w:t>- Văn phòng Trung ương và các Ban của Đảng;</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Các Bộ, cơ quan ngang bộ;</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HĐND, UBND các tỉnh, thành phố;</w:t>
            </w:r>
            <w:r>
              <w:rPr>
                <w:sz w:val="16"/>
                <w:rtl w:val="0"/>
              </w:rPr>
              <w:br/>
            </w:r>
            <w:r>
              <w:rPr>
                <w:sz w:val="16"/>
                <w:rtl w:val="0"/>
              </w:rPr>
              <w:t>- Sở TC các tỉnh, thành phố;</w:t>
            </w:r>
            <w:r>
              <w:rPr>
                <w:sz w:val="16"/>
                <w:rtl w:val="0"/>
              </w:rPr>
              <w:br/>
            </w:r>
            <w:r>
              <w:rPr>
                <w:sz w:val="16"/>
                <w:rtl w:val="0"/>
              </w:rPr>
              <w:t>- KBNN các khu vực;</w:t>
            </w:r>
            <w:r>
              <w:rPr>
                <w:sz w:val="16"/>
                <w:rtl w:val="0"/>
              </w:rPr>
              <w:br/>
            </w:r>
            <w:r>
              <w:rPr>
                <w:sz w:val="16"/>
                <w:rtl w:val="0"/>
              </w:rPr>
              <w:t>- Cục Kiểm tra văn bản và Tổ chức thi hành pháp luật - Bộ Tư pháp;</w:t>
            </w:r>
            <w:r>
              <w:rPr>
                <w:sz w:val="16"/>
                <w:rtl w:val="0"/>
              </w:rPr>
              <w:br/>
            </w:r>
            <w:r>
              <w:rPr>
                <w:sz w:val="16"/>
                <w:rtl w:val="0"/>
              </w:rPr>
              <w:t>- Công báo, Cổng TTĐT Chính phủ;</w:t>
            </w:r>
            <w:r>
              <w:rPr>
                <w:sz w:val="16"/>
                <w:rtl w:val="0"/>
              </w:rPr>
              <w:br/>
            </w:r>
            <w:r>
              <w:rPr>
                <w:sz w:val="16"/>
                <w:rtl w:val="0"/>
              </w:rPr>
              <w:t>- Cổng TTĐT, các đơn vị thuộc Bộ Tài chính;</w:t>
            </w:r>
            <w:r>
              <w:rPr>
                <w:sz w:val="16"/>
                <w:rtl w:val="0"/>
              </w:rPr>
              <w:br/>
            </w:r>
            <w:r>
              <w:rPr>
                <w:sz w:val="16"/>
                <w:rtl w:val="0"/>
              </w:rPr>
              <w:t>- Lưu: VT, KTN. ( 70 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rPr>
              <w:t>KT. BỘ TRƯỞNG</w:t>
            </w:r>
            <w:r>
              <w:rPr>
                <w:color w:val="000000"/>
                <w:rtl w:val="0"/>
              </w:rPr>
              <w:br/>
            </w:r>
            <w:r>
              <w:rPr>
                <w:b/>
                <w:bCs/>
                <w:color w:val="000000"/>
                <w:rtl w:val="0"/>
              </w:rPr>
              <w:t>THỨ TRƯỞNG</w:t>
            </w:r>
            <w:r>
              <w:rPr>
                <w:color w:val="000000"/>
                <w:rtl w:val="0"/>
              </w:rPr>
              <w:br/>
            </w:r>
            <w:r>
              <w:rPr>
                <w:color w:val="000000"/>
                <w:rtl w:val="0"/>
              </w:rPr>
              <w:br/>
            </w:r>
            <w:r>
              <w:rPr>
                <w:color w:val="000000"/>
                <w:rtl w:val="0"/>
              </w:rPr>
              <w:br/>
            </w:r>
            <w:r>
              <w:rPr>
                <w:color w:val="000000"/>
                <w:rtl w:val="0"/>
              </w:rPr>
              <w:br/>
            </w:r>
            <w:r>
              <w:rPr>
                <w:color w:val="000000"/>
                <w:rtl w:val="0"/>
              </w:rPr>
              <w:br/>
            </w:r>
            <w:r>
              <w:rPr>
                <w:b/>
                <w:bCs/>
                <w:color w:val="000000"/>
                <w:rtl w:val="0"/>
              </w:rPr>
              <w:t>Nguyễn Thị Bích Ngọc</w:t>
            </w:r>
          </w:p>
        </w:tc>
      </w:tr>
    </w:tbl>
    <w:p>
      <w:pPr>
        <w:bidi w:val="0"/>
        <w:spacing w:before="120" w:beforeAutospacing="0" w:after="280" w:afterAutospacing="1"/>
      </w:pPr>
      <w:r>
        <w:rPr>
          <w:color w:val="000000"/>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