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……/TTTP-……(1)</w:t>
            </w:r>
          </w:p>
          <w:p>
            <w:pPr>
              <w:spacing w:before="0" w:after="0" w:lineRule="auto" w:line="276"/>
              <w:jc w:val="center"/>
            </w:pPr>
            <w:r>
              <w:rPr>
                <w:rFonts w:ascii="Times New Roman" w:hAnsi="Times New Roman" w:eastAsia="Times New Roman"/>
                <w:b w:val="0"/>
                <w:i/>
                <w:sz w:val="24"/>
              </w:rPr>
              <w:t>V/v chuyển đơn của công dân</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CÔNG VĂN</w:t>
      </w:r>
    </w:p>
    <w:p>
      <w:pPr>
        <w:spacing w:before="0" w:after="0" w:lineRule="auto" w:line="312"/>
        <w:jc w:val="center"/>
      </w:pPr>
      <w:r>
        <w:rPr>
          <w:rFonts w:ascii="Times New Roman" w:hAnsi="Times New Roman" w:eastAsia="Times New Roman"/>
          <w:b/>
          <w:i/>
          <w:sz w:val="26"/>
        </w:rPr>
        <w:t>(Chuyển đơn đến cơ quan có thẩm quyền giải quyết)</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tiếp nhận đơn ghi ngày …… tháng …… năm ……(3) của ………………(4) (do ………………(5)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Tại buổi làm việc, tiếp công dân ngày …… tháng …… năm ……(7), ………………(4) xác định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thẩm quyền giải quyết vụ việc và Thông tư số 05/2021/TT-TTCP ngày 01 tháng 10 năm 2021 của Thanh tra Chính phủ quy định quy trình xử lý đơn khiếu nại, đơn tố cáo, đơn kiến nghị, phản ánh, Thanh tra Thành phố chuyển đơn và nội dung nêu trên đến ………………(2) để ……………(9) kiểm tra, xử lý, giải quyết theo quy định của pháp luật; thông tin kết quả giải quyết cho ………………(4) và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bản sao Biên bản tiếp công dân, Biên bản làm việc ngày …… tháng …… năm ……(7) và các thông tin, tài liệu có liên quan (nếu có))</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……(4);</w:t>
            </w:r>
          </w:p>
          <w:p>
            <w:pPr>
              <w:spacing w:before="0" w:after="0" w:lineRule="auto" w:line="276"/>
              <w:jc w:val="left"/>
            </w:pPr>
            <w:r>
              <w:rPr>
                <w:rFonts w:ascii="Times New Roman" w:hAnsi="Times New Roman" w:eastAsia="Times New Roman"/>
                <w:b w:val="0"/>
                <w:i w:val="0"/>
                <w:sz w:val="22"/>
              </w:rPr>
              <w:t>- Lưu: VT, ……(10).</w:t>
            </w:r>
          </w:p>
        </w:tc>
        <w:tc>
          <w:tcPr>
            <w:tcW w:type="dxa" w:w="4819"/>
          </w:tcPr>
          <w:p>
            <w:pPr>
              <w:spacing w:before="0" w:after="0" w:lineRule="auto" w:line="276"/>
              <w:jc w:val="center"/>
            </w:pPr>
            <w:r>
              <w:rPr>
                <w:rFonts w:ascii="Times New Roman" w:hAnsi="Times New Roman" w:eastAsia="Times New Roman"/>
                <w:b/>
                <w:i w:val="0"/>
                <w:sz w:val="26"/>
              </w:rPr>
              <w:t>………………………(11)</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văn bản. Ví dụ: Văn bản do Phòng 1 tham mưu ghi là "TTTP-P1".</w:t>
      </w:r>
    </w:p>
    <w:p>
      <w:pPr>
        <w:spacing w:before="0" w:after="0" w:lineRule="auto" w:line="312"/>
        <w:jc w:val="both"/>
      </w:pPr>
      <w:r>
        <w:rPr>
          <w:rFonts w:ascii="Times New Roman" w:hAnsi="Times New Roman" w:eastAsia="Times New Roman"/>
          <w:b w:val="0"/>
          <w:i w:val="0"/>
          <w:sz w:val="22"/>
        </w:rPr>
        <w:t>(2) Chức danh người đứng đầu cơ quan có thẩm quyền giải quyết vụ việc hoặc tên cơ quan có thẩm quyền giải quyết vụ việc. Ví dụ: "Chủ tịch Ủy ban nhân dân Phường Xuân Hòa".</w:t>
      </w:r>
    </w:p>
    <w:p>
      <w:pPr>
        <w:spacing w:before="0" w:after="0" w:lineRule="auto" w:line="312"/>
        <w:jc w:val="both"/>
      </w:pPr>
      <w:r>
        <w:rPr>
          <w:rFonts w:ascii="Times New Roman" w:hAnsi="Times New Roman" w:eastAsia="Times New Roman"/>
          <w:b w:val="0"/>
          <w:i w:val="0"/>
          <w:sz w:val="22"/>
        </w:rPr>
        <w:t>(3)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(4) Họ và tên người gửi đơn. Trường hợp chuyển nội dung tố cáo thì ghi "công dân" ở phần nội dung và ghi "Người tố cáo" tại phần "Nơi nhận", không nêu họ tên, địa chỉ người tố cáo.</w:t>
      </w:r>
    </w:p>
    <w:p>
      <w:pPr>
        <w:spacing w:before="0" w:after="0" w:lineRule="auto" w:line="312"/>
        <w:jc w:val="both"/>
      </w:pPr>
      <w:r>
        <w:rPr>
          <w:rFonts w:ascii="Times New Roman" w:hAnsi="Times New Roman" w:eastAsia="Times New Roman"/>
          <w:b w:val="0"/>
          <w:i w:val="0"/>
          <w:sz w:val="22"/>
        </w:rPr>
        <w:t>(5)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(6) Địa chỉ của người gửi đơn ghi trên đơn.</w:t>
      </w:r>
    </w:p>
    <w:p>
      <w:pPr>
        <w:spacing w:before="0" w:after="0" w:lineRule="auto" w:line="312"/>
        <w:jc w:val="both"/>
      </w:pPr>
      <w:r>
        <w:rPr>
          <w:rFonts w:ascii="Times New Roman" w:hAnsi="Times New Roman" w:eastAsia="Times New Roman"/>
          <w:b w:val="0"/>
          <w:i w:val="0"/>
          <w:sz w:val="22"/>
        </w:rPr>
        <w:t>(7) Ngày lập biên bản tiếp công dân hoặc biên bản làm việc với người gửi đơn (ghi thống nhất ở phần nội dung và phần đính kèm).</w:t>
      </w:r>
    </w:p>
    <w:p>
      <w:pPr>
        <w:spacing w:before="0" w:after="0" w:lineRule="auto" w:line="312"/>
        <w:jc w:val="both"/>
      </w:pPr>
      <w:r>
        <w:rPr>
          <w:rFonts w:ascii="Times New Roman" w:hAnsi="Times New Roman" w:eastAsia="Times New Roman"/>
          <w:b w:val="0"/>
          <w:i w:val="0"/>
          <w:sz w:val="22"/>
        </w:rPr>
        <w:t>(8) Tóm tắt nội dung sự việc mà người gửi đơn xác định tại buổi làm việc, nêu rõ đó là nội dung khiếu nại, tố cáo hay kiến nghị, phản ánh. Ví dụ: "kiến nghị xem xét việc bồi thường, hỗ trợ khi thu hồi đất tại địa chỉ …".</w:t>
      </w:r>
    </w:p>
    <w:p>
      <w:pPr>
        <w:spacing w:before="0" w:after="0" w:lineRule="auto" w:line="312"/>
        <w:jc w:val="both"/>
      </w:pPr>
      <w:r>
        <w:rPr>
          <w:rFonts w:ascii="Times New Roman" w:hAnsi="Times New Roman" w:eastAsia="Times New Roman"/>
          <w:b w:val="0"/>
          <w:i w:val="0"/>
          <w:sz w:val="22"/>
        </w:rPr>
        <w:t>(9) Cụm từ chỉ hình thức xử lý phù hợp với người nhận: chuyển đến người đứng đầu cơ quan thì ghi "chỉ đạo"; chuyển đến cơ quan thì bỏ cụm từ này.</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(11) Chức danh người có thẩm quyền ký văn bản chuyển đơn.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Trường hợp chuyển nội dung tố cáo thì việc chuyển đơn chỉ thực hiện một lần đối với đơn có cùng nội dung và phải bảo đảm bí mật họ tên, địa chỉ, bút tích của người tố cáo.</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1 Điều 14, khoản 2 Điều 20, các Điều 22, 23, 24, 25, 26 và khoản 2 Điều 29 Thông tư số 05/2021/TT-TTCP ngày 01/10/2021 của Thanh tra Chính phủ; khoản 2 Điều 24 Luật Tố cáo số 25/2018/QH14 đã được sửa đổi, bổ sung; Nghị định số 30/2020/NĐ-CP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