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……/PC-TTTP-……(1)</w:t>
            </w:r>
          </w:p>
          <w:p>
            <w:pPr>
              <w:spacing w:before="0" w:after="0" w:lineRule="auto" w:line="276"/>
              <w:jc w:val="center"/>
            </w:pPr>
            <w:r>
              <w:rPr>
                <w:rFonts w:ascii="Times New Roman" w:hAnsi="Times New Roman" w:eastAsia="Times New Roman"/>
                <w:b w:val="0"/>
                <w:i/>
                <w:sz w:val="24"/>
              </w:rPr>
              <w:t>V/v chuyển đơn kiến nghị, phản ánh</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CHUYỂN ĐƠN KIẾN NGHỊ, PHẢN ÁNH</w:t>
      </w:r>
    </w:p>
    <w:p>
      <w:pPr>
        <w:spacing w:before="0" w:after="0" w:lineRule="auto" w:line="312"/>
        <w:jc w:val="center"/>
      </w:pPr>
      <w:r>
        <w:rPr>
          <w:rFonts w:ascii="Times New Roman" w:hAnsi="Times New Roman" w:eastAsia="Times New Roman"/>
          <w:b/>
          <w:i/>
          <w:sz w:val="26"/>
        </w:rPr>
        <w:t>(Nội dung không thuộc trách nhiệm quản lý của Thanh tra Thành phố)</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ghi ngày …… tháng …… năm ……(3) của ………………(4) (do ………………(5) chuyển đến).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của người gửi đơn: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Đơn có nội dung: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nhiệm vụ, quyền hạn của Thanh tra Thành phố và khoản 2 Điều 20 Thông tư số 05/2021/TT-TTCP ngày 01 tháng 10 năm 2021 của Thanh tra Chính phủ quy định quy trình xử lý đơn khiếu nại, đơn tố cáo, đơn kiến nghị, phản ánh, nội dung kiến nghị, phản ánh nêu trên không thuộc trách nhiệm quản lý, không thuộc thẩm quyền giải quyết của Thanh tra Thành phố.</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Do đó, Thanh tra Thành phố chuyển đơn nêu trên đến ………………(2) để ……………(8) xem xét, xử lý, giải quyết theo quy định của pháp luật; thông tin kết quả xử lý cho ………………(4) và Thanh tra Thành phố./.</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và các thông tin, tài liệu gửi kèm theo đơn (nếu có) mà Thanh tra Thành phố tiếp nhận ngày …… tháng …… năm ……(9))</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chuyển đơn (nếu có);</w:t>
            </w:r>
          </w:p>
          <w:p>
            <w:pPr>
              <w:spacing w:before="0" w:after="0" w:lineRule="auto" w:line="276"/>
              <w:jc w:val="left"/>
            </w:pPr>
            <w:r>
              <w:rPr>
                <w:rFonts w:ascii="Times New Roman" w:hAnsi="Times New Roman" w:eastAsia="Times New Roman"/>
                <w:b w:val="0"/>
                <w:i w:val="0"/>
                <w:sz w:val="22"/>
              </w:rPr>
              <w:t>- ……(4);</w:t>
            </w:r>
          </w:p>
          <w:p>
            <w:pPr>
              <w:spacing w:before="0" w:after="0" w:lineRule="auto" w:line="276"/>
              <w:jc w:val="left"/>
            </w:pPr>
            <w:r>
              <w:rPr>
                <w:rFonts w:ascii="Times New Roman" w:hAnsi="Times New Roman" w:eastAsia="Times New Roman"/>
                <w:b w:val="0"/>
                <w:i w:val="0"/>
                <w:sz w:val="22"/>
              </w:rPr>
              <w:t>- Lưu: VT, ……(10).</w:t>
            </w:r>
          </w:p>
        </w:tc>
        <w:tc>
          <w:tcPr>
            <w:tcW w:type="dxa" w:w="4819"/>
          </w:tcPr>
          <w:p>
            <w:pPr>
              <w:spacing w:before="0" w:after="0" w:lineRule="auto" w:line="276"/>
              <w:jc w:val="center"/>
            </w:pPr>
            <w:r>
              <w:rPr>
                <w:rFonts w:ascii="Times New Roman" w:hAnsi="Times New Roman" w:eastAsia="Times New Roman"/>
                <w:b/>
                <w:i w:val="0"/>
                <w:sz w:val="26"/>
              </w:rPr>
              <w:t>………………………(11)</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chuyển. Ví dụ: Phiếu chuyển do Phòng 1 tham mưu ghi là "PC-TTTP-P1".</w:t>
      </w:r>
    </w:p>
    <w:p>
      <w:pPr>
        <w:spacing w:before="0" w:after="0" w:lineRule="auto" w:line="312"/>
        <w:jc w:val="both"/>
      </w:pPr>
      <w:r>
        <w:rPr>
          <w:rFonts w:ascii="Times New Roman" w:hAnsi="Times New Roman" w:eastAsia="Times New Roman"/>
          <w:b w:val="0"/>
          <w:i w:val="0"/>
          <w:sz w:val="22"/>
        </w:rPr>
        <w:t>(2) Chức danh người đứng đầu cơ quan có thẩm quyền giải quyết vụ việc hoặc tên cơ quan có thẩm quyền giải quyết vụ việc. Ví dụ: "Chủ tịch Ủy ban nhân dân Phường Xuân Hòa".</w:t>
      </w:r>
    </w:p>
    <w:p>
      <w:pPr>
        <w:spacing w:before="0" w:after="0" w:lineRule="auto" w:line="312"/>
        <w:jc w:val="both"/>
      </w:pPr>
      <w:r>
        <w:rPr>
          <w:rFonts w:ascii="Times New Roman" w:hAnsi="Times New Roman" w:eastAsia="Times New Roman"/>
          <w:b w:val="0"/>
          <w:i w:val="0"/>
          <w:sz w:val="22"/>
        </w:rPr>
        <w:t>(3)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(4) Họ và tên người viết đơn kiến nghị, phản ánh. Ví dụ: "ông Nguyễn Văn A".</w:t>
      </w:r>
    </w:p>
    <w:p>
      <w:pPr>
        <w:spacing w:before="0" w:after="0" w:lineRule="auto" w:line="312"/>
        <w:jc w:val="both"/>
      </w:pPr>
      <w:r>
        <w:rPr>
          <w:rFonts w:ascii="Times New Roman" w:hAnsi="Times New Roman" w:eastAsia="Times New Roman"/>
          <w:b w:val="0"/>
          <w:i w:val="0"/>
          <w:sz w:val="22"/>
        </w:rPr>
        <w:t>(5)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(6) Địa chỉ của người kiến nghị, phản ánh ghi trên đơn; nếu đơn có ghi cách thức liên hệ khác thì ghi bổ sung số điện thoại, thư điện tử.</w:t>
      </w:r>
    </w:p>
    <w:p>
      <w:pPr>
        <w:spacing w:before="0" w:after="0" w:lineRule="auto" w:line="312"/>
        <w:jc w:val="both"/>
      </w:pPr>
      <w:r>
        <w:rPr>
          <w:rFonts w:ascii="Times New Roman" w:hAnsi="Times New Roman" w:eastAsia="Times New Roman"/>
          <w:b w:val="0"/>
          <w:i w:val="0"/>
          <w:sz w:val="22"/>
        </w:rPr>
        <w:t>(7) Tóm tắt nội dung kiến nghị, phản ánh. Ví dụ: "phản ánh việc chậm giải quyết hồ sơ đăng ký biến động đất đai".</w:t>
      </w:r>
    </w:p>
    <w:p>
      <w:pPr>
        <w:spacing w:before="0" w:after="0" w:lineRule="auto" w:line="312"/>
        <w:jc w:val="both"/>
      </w:pPr>
      <w:r>
        <w:rPr>
          <w:rFonts w:ascii="Times New Roman" w:hAnsi="Times New Roman" w:eastAsia="Times New Roman"/>
          <w:b w:val="0"/>
          <w:i w:val="0"/>
          <w:sz w:val="22"/>
        </w:rPr>
        <w:t>(8) Cụm từ chỉ hình thức xử lý phù hợp với người nhận: chuyển đến người đứng đầu cơ quan thì ghi "chỉ đạo"; chuyển đến cơ quan thì bỏ cụm từ này.</w:t>
      </w:r>
    </w:p>
    <w:p>
      <w:pPr>
        <w:spacing w:before="0" w:after="0" w:lineRule="auto" w:line="312"/>
        <w:jc w:val="both"/>
      </w:pPr>
      <w:r>
        <w:rPr>
          <w:rFonts w:ascii="Times New Roman" w:hAnsi="Times New Roman" w:eastAsia="Times New Roman"/>
          <w:b w:val="0"/>
          <w:i w:val="0"/>
          <w:sz w:val="22"/>
        </w:rPr>
        <w:t>(9) Ngày Thanh tra Thành phố tiếp nhận đơn, là ngày Văn phòng ghi trong dấu "Văn bản đến"; ghi rõ chuyển bản chính hay bản sao đơn.</w:t>
      </w:r>
    </w:p>
    <w:p>
      <w:pPr>
        <w:spacing w:before="0" w:after="0" w:lineRule="auto" w:line="312"/>
        <w:jc w:val="both"/>
      </w:pPr>
      <w:r>
        <w:rPr>
          <w:rFonts w:ascii="Times New Roman" w:hAnsi="Times New Roman" w:eastAsia="Times New Roman"/>
          <w:b w:val="0"/>
          <w:i w:val="0"/>
          <w:sz w:val="22"/>
        </w:rPr>
        <w:t>(10) Chữ viết tắt tên phòng, đơn vị soạn thảo, tên viết tắt của người soạn thảo và số lượng bản phát hành. Ví dụ: "P1/NVA.5b".</w:t>
      </w:r>
    </w:p>
    <w:p>
      <w:pPr>
        <w:spacing w:before="0" w:after="0" w:lineRule="auto" w:line="312"/>
        <w:jc w:val="both"/>
      </w:pPr>
      <w:r>
        <w:rPr>
          <w:rFonts w:ascii="Times New Roman" w:hAnsi="Times New Roman" w:eastAsia="Times New Roman"/>
          <w:b w:val="0"/>
          <w:i w:val="0"/>
          <w:sz w:val="22"/>
        </w:rPr>
        <w:t>(11) Chức danh người có thẩm quyền ký phiếu chuyển đơn.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 đồng thời sửa cụm từ "Thanh tra Thành phố" trong phần nội dung cho phù hợp.</w:t>
      </w:r>
    </w:p>
    <w:p>
      <w:pPr>
        <w:spacing w:before="0" w:after="0" w:lineRule="auto" w:line="312"/>
        <w:jc w:val="both"/>
      </w:pPr>
      <w:r>
        <w:rPr>
          <w:rFonts w:ascii="Times New Roman" w:hAnsi="Times New Roman" w:eastAsia="Times New Roman"/>
          <w:b w:val="0"/>
          <w:i w:val="0"/>
          <w:sz w:val="22"/>
        </w:rPr>
        <w:t>* Căn cứ: khoản 2 Điều 20 Thông tư số 05/2021/TT-TTCP ngày 01/10/2021 của Thanh tra Chính phủ (Mẫu số 04); khoản 2 Điều 29 Thông tư số 05/2021/TT-TTCP về trách nhiệm trả lời cơ quan, người có thẩm quyền đã chuyển đơn.</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