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……/PHD-TTTP-……(1)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PHIẾU HƯỚNG DẪN</w:t>
      </w:r>
    </w:p>
    <w:p>
      <w:pPr>
        <w:spacing w:before="0" w:after="0" w:lineRule="auto" w:line="312"/>
        <w:jc w:val="center"/>
      </w:pPr>
      <w:r>
        <w:rPr>
          <w:rFonts w:ascii="Times New Roman" w:hAnsi="Times New Roman" w:eastAsia="Times New Roman"/>
          <w:b/>
          <w:i/>
          <w:sz w:val="26"/>
        </w:rPr>
        <w:t>(Đơn có nhiều nội dung khác nhau)</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nhận được đơn ghi ngày …… tháng …… năm ……(4) của ……………(5) (do ………………(6) chuyển đến).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Sau khi xem xét nội dung đơn và các thông tin, tài liệu gửi kèm theo đơn, căn cứ Điều 21 Thông tư số 05/2021/TT-TTCP ngày 01 tháng 10 năm 2021 của Thanh tra Chính phủ quy định quy trình xử lý đơn khiếu nại, đơn tố cáo, đơn kiến nghị, phản ánh, đơn của ……………(5) có nhiều nội dung khác nhau, thuộc thẩm quyền giải quyết của các cơ quan sau đây: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1. Nội dung ………………(7) thuộc thẩm quyền giải quyết của ………………(8).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2. Nội dung ………………(9) thuộc thẩm quyền giải quyết của ………………(10).</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Vì vậy, Thanh tra Thành phố đề nghị ……………(5) viết tách riêng từng nội dung đơn như đã hướng dẫn nêu trên và gửi đến đúng cơ quan, tổ chức, đơn vị, người có thẩm quyền để được xem xét, giải quyết theo quy định của pháp luật./.</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sz w:val="26"/>
        </w:rPr>
        <w:t>(Đính kèm đơn và các thông tin, tài liệu gửi kèm theo đơn (nếu có) mà Thanh tra Thành phố tiếp nhận ngày …… tháng …… năm ……(11))</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Cơ quan chuyển đơn (nếu có);</w:t>
            </w:r>
          </w:p>
          <w:p>
            <w:pPr>
              <w:spacing w:before="0" w:after="0" w:lineRule="auto" w:line="276"/>
              <w:jc w:val="left"/>
            </w:pPr>
            <w:r>
              <w:rPr>
                <w:rFonts w:ascii="Times New Roman" w:hAnsi="Times New Roman" w:eastAsia="Times New Roman"/>
                <w:b w:val="0"/>
                <w:i w:val="0"/>
                <w:sz w:val="22"/>
              </w:rPr>
              <w:t>- Lưu: VT, ……(12).</w:t>
            </w:r>
          </w:p>
        </w:tc>
        <w:tc>
          <w:tcPr>
            <w:tcW w:type="dxa" w:w="4819"/>
          </w:tcPr>
          <w:p>
            <w:pPr>
              <w:spacing w:before="0" w:after="0" w:lineRule="auto" w:line="276"/>
              <w:jc w:val="center"/>
            </w:pPr>
            <w:r>
              <w:rPr>
                <w:rFonts w:ascii="Times New Roman" w:hAnsi="Times New Roman" w:eastAsia="Times New Roman"/>
                <w:b/>
                <w:i w:val="0"/>
                <w:sz w:val="26"/>
              </w:rPr>
              <w:t>………………………(13)</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phiếu hướng dẫn. Ví dụ: Phiếu hướng dẫn do Phòng 1 tham mưu ghi là "PHD-TTTP-P1".</w:t>
      </w:r>
    </w:p>
    <w:p>
      <w:pPr>
        <w:spacing w:before="0" w:after="0" w:lineRule="auto" w:line="312"/>
        <w:jc w:val="both"/>
      </w:pPr>
      <w:r>
        <w:rPr>
          <w:rFonts w:ascii="Times New Roman" w:hAnsi="Times New Roman" w:eastAsia="Times New Roman"/>
          <w:b w:val="0"/>
          <w:i w:val="0"/>
          <w:sz w:val="22"/>
        </w:rPr>
        <w:t>(2) Họ và tên người viết đơn. Ví dụ: "Ông Nguyễn Văn A".</w:t>
      </w:r>
    </w:p>
    <w:p>
      <w:pPr>
        <w:spacing w:before="0" w:after="0" w:lineRule="auto" w:line="312"/>
        <w:jc w:val="both"/>
      </w:pPr>
      <w:r>
        <w:rPr>
          <w:rFonts w:ascii="Times New Roman" w:hAnsi="Times New Roman" w:eastAsia="Times New Roman"/>
          <w:b w:val="0"/>
          <w:i w:val="0"/>
          <w:sz w:val="22"/>
        </w:rPr>
        <w:t>(3) Địa chỉ của người viết đơn ghi trên đơn.</w:t>
      </w:r>
    </w:p>
    <w:p>
      <w:pPr>
        <w:spacing w:before="0" w:after="0" w:lineRule="auto" w:line="312"/>
        <w:jc w:val="both"/>
      </w:pPr>
      <w:r>
        <w:rPr>
          <w:rFonts w:ascii="Times New Roman" w:hAnsi="Times New Roman" w:eastAsia="Times New Roman"/>
          <w:b w:val="0"/>
          <w:i w:val="0"/>
          <w:sz w:val="22"/>
        </w:rPr>
        <w:t>(4) Ngày người viết đơn ký tên hoặc điểm chỉ trên đơn (dùng để phân biệt trường hợp một người gửi nhiều đơn).</w:t>
      </w:r>
    </w:p>
    <w:p>
      <w:pPr>
        <w:spacing w:before="0" w:after="0" w:lineRule="auto" w:line="312"/>
        <w:jc w:val="both"/>
      </w:pPr>
      <w:r>
        <w:rPr>
          <w:rFonts w:ascii="Times New Roman" w:hAnsi="Times New Roman" w:eastAsia="Times New Roman"/>
          <w:b w:val="0"/>
          <w:i w:val="0"/>
          <w:sz w:val="22"/>
        </w:rPr>
        <w:t>(5) Đại từ xưng hô phù hợp với chỉ số (2). Ví dụ: chỉ số (2) là "ông Nguyễn Văn A" thì ghi "Ông"; là "ông Nguyễn Văn A – bà Lê Thị B" thì ghi "Ông/Bà".</w:t>
      </w:r>
    </w:p>
    <w:p>
      <w:pPr>
        <w:spacing w:before="0" w:after="0" w:lineRule="auto" w:line="312"/>
        <w:jc w:val="both"/>
      </w:pPr>
      <w:r>
        <w:rPr>
          <w:rFonts w:ascii="Times New Roman" w:hAnsi="Times New Roman" w:eastAsia="Times New Roman"/>
          <w:b w:val="0"/>
          <w:i w:val="0"/>
          <w:sz w:val="22"/>
        </w:rPr>
        <w:t>(6) Nguồn tiếp nhận đơn: "dịch vụ bưu chính chuyển đến", "Ban Tiếp công dân Thành phố chuyển đến theo Văn bản số …", "Đoàn đại biểu Quốc hội Thành phố chuyển đến", "tiếp nhận trực tiếp tại Thanh tra Thành phố".</w:t>
      </w:r>
    </w:p>
    <w:p>
      <w:pPr>
        <w:spacing w:before="0" w:after="0" w:lineRule="auto" w:line="312"/>
        <w:jc w:val="both"/>
      </w:pPr>
      <w:r>
        <w:rPr>
          <w:rFonts w:ascii="Times New Roman" w:hAnsi="Times New Roman" w:eastAsia="Times New Roman"/>
          <w:b w:val="0"/>
          <w:i w:val="0"/>
          <w:sz w:val="22"/>
        </w:rPr>
        <w:t>(7) Trích yếu nội dung thứ nhất trong đơn, nêu rõ đó là nội dung khiếu nại, tố cáo hay kiến nghị, phản ánh. Ví dụ: "khiếu nại Quyết định số …/QĐ-UBND ngày …/…/… về bồi thường, hỗ trợ".</w:t>
      </w:r>
    </w:p>
    <w:p>
      <w:pPr>
        <w:spacing w:before="0" w:after="0" w:lineRule="auto" w:line="312"/>
        <w:jc w:val="both"/>
      </w:pPr>
      <w:r>
        <w:rPr>
          <w:rFonts w:ascii="Times New Roman" w:hAnsi="Times New Roman" w:eastAsia="Times New Roman"/>
          <w:b w:val="0"/>
          <w:i w:val="0"/>
          <w:sz w:val="22"/>
        </w:rPr>
        <w:t>(8) Chức danh người có thẩm quyền hoặc tên cơ quan có thẩm quyền giải quyết nội dung thứ nhất; trường hợp thuộc thẩm quyền của Chủ tịch Ủy ban nhân dân Thành phố thì ghi thêm "thông qua Ban Tiếp công dân Thành phố Hồ Chí Minh, địa chỉ số 15 đường Nguyễn Gia Thiều, Phường Xuân Hòa, Thành phố Hồ Chí Minh".</w:t>
      </w:r>
    </w:p>
    <w:p>
      <w:pPr>
        <w:spacing w:before="0" w:after="0" w:lineRule="auto" w:line="312"/>
        <w:jc w:val="both"/>
      </w:pPr>
      <w:r>
        <w:rPr>
          <w:rFonts w:ascii="Times New Roman" w:hAnsi="Times New Roman" w:eastAsia="Times New Roman"/>
          <w:b w:val="0"/>
          <w:i w:val="0"/>
          <w:sz w:val="22"/>
        </w:rPr>
        <w:t>(9) Trích yếu nội dung thứ hai trong đơn. Ví dụ: "kiến nghị về việc cấp giấy chứng nhận quyền sử dụng đất".</w:t>
      </w:r>
    </w:p>
    <w:p>
      <w:pPr>
        <w:spacing w:before="0" w:after="0" w:lineRule="auto" w:line="312"/>
        <w:jc w:val="both"/>
      </w:pPr>
      <w:r>
        <w:rPr>
          <w:rFonts w:ascii="Times New Roman" w:hAnsi="Times New Roman" w:eastAsia="Times New Roman"/>
          <w:b w:val="0"/>
          <w:i w:val="0"/>
          <w:sz w:val="22"/>
        </w:rPr>
        <w:t>(10) Chức danh người có thẩm quyền hoặc tên cơ quan có thẩm quyền giải quyết nội dung thứ hai; nếu đơn có từ ba nội dung trở lên thì bổ sung các mục 3, 4 … theo cách ghi tương tự.</w:t>
      </w:r>
    </w:p>
    <w:p>
      <w:pPr>
        <w:spacing w:before="0" w:after="0" w:lineRule="auto" w:line="312"/>
        <w:jc w:val="both"/>
      </w:pPr>
      <w:r>
        <w:rPr>
          <w:rFonts w:ascii="Times New Roman" w:hAnsi="Times New Roman" w:eastAsia="Times New Roman"/>
          <w:b w:val="0"/>
          <w:i w:val="0"/>
          <w:sz w:val="22"/>
        </w:rPr>
        <w:t>(11) Ngày Thanh tra Thành phố tiếp nhận đơn, là ngày Văn phòng ghi trong dấu "Văn bản đến".</w:t>
      </w:r>
    </w:p>
    <w:p>
      <w:pPr>
        <w:spacing w:before="0" w:after="0" w:lineRule="auto" w:line="312"/>
        <w:jc w:val="both"/>
      </w:pPr>
      <w:r>
        <w:rPr>
          <w:rFonts w:ascii="Times New Roman" w:hAnsi="Times New Roman" w:eastAsia="Times New Roman"/>
          <w:b w:val="0"/>
          <w:i w:val="0"/>
          <w:sz w:val="22"/>
        </w:rPr>
        <w:t>(12) Chữ viết tắt tên phòng, đơn vị soạn thảo, tên viết tắt của người soạn thảo và số lượng bản phát hành. Ví dụ: "P1/NVA.4b".</w:t>
      </w:r>
    </w:p>
    <w:p>
      <w:pPr>
        <w:spacing w:before="0" w:after="0" w:lineRule="auto" w:line="312"/>
        <w:jc w:val="both"/>
      </w:pPr>
      <w:r>
        <w:rPr>
          <w:rFonts w:ascii="Times New Roman" w:hAnsi="Times New Roman" w:eastAsia="Times New Roman"/>
          <w:b w:val="0"/>
          <w:i w:val="0"/>
          <w:sz w:val="22"/>
        </w:rPr>
        <w:t>(13) Chức danh người có thẩm quyền ký phiếu hướng dẫn. Ví dụ: "CHÁNH THANH TRA" hoặc "TL. CHÁNH THANH TRA – CHÁNH VĂN PHÒNG".</w:t>
      </w:r>
    </w:p>
    <w:p>
      <w:pPr>
        <w:spacing w:before="0" w:after="0" w:lineRule="auto" w:line="312"/>
        <w:jc w:val="both"/>
      </w:pPr>
      <w:r>
        <w:rPr>
          <w:rFonts w:ascii="Times New Roman" w:hAnsi="Times New Roman" w:eastAsia="Times New Roman"/>
          <w:b w:val="0"/>
          <w:i w:val="0"/>
          <w:sz w:val="22"/>
        </w:rPr>
        <w:t>* Cơ quan, tổ chức, đơn vị khác sử dụng biểu mẫu này thay phần tác giả văn bản ở góc trên bên trái (ỦY BAN NHÂN DÂN THÀNH PHỐ HỒ CHÍ MINH – THANH TRA THÀNH PHỐ) và ký hiệu số văn bản bằng tên, ký hiệu của cơ quan, tổ chức, đơn vị mình.</w:t>
      </w:r>
    </w:p>
    <w:p>
      <w:pPr>
        <w:spacing w:before="0" w:after="0" w:lineRule="auto" w:line="312"/>
        <w:jc w:val="both"/>
      </w:pPr>
      <w:r>
        <w:rPr>
          <w:rFonts w:ascii="Times New Roman" w:hAnsi="Times New Roman" w:eastAsia="Times New Roman"/>
          <w:b w:val="0"/>
          <w:i w:val="0"/>
          <w:sz w:val="22"/>
        </w:rPr>
        <w:t>* Căn cứ: Điều 21 Thông tư số 05/2021/TT-TTCP ngày 01/10/2021 của Thanh tra Chính phủ (Mẫu số 05); điểm d khoản 1 Điều 6 Thông tư số 05/2021/TT-TTCP về phân loại đơn có nhiều nội dung khác nhau; việc hướng dẫn chỉ thực hiện một lần đối với cùng một nội dung.</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