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……/PHD-TTTP-……(1)</w:t>
            </w:r>
          </w:p>
          <w:p>
            <w:pPr>
              <w:spacing w:before="0" w:after="0" w:lineRule="auto" w:line="276"/>
              <w:jc w:val="center"/>
            </w:pPr>
            <w:r>
              <w:rPr>
                <w:rFonts w:ascii="Times New Roman" w:hAnsi="Times New Roman" w:eastAsia="Times New Roman"/>
                <w:b w:val="0"/>
                <w:i/>
                <w:sz w:val="24"/>
              </w:rPr>
              <w:t>V/v hướng dẫn gửi đơn khiếu nại</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HƯỚNG DẪN</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khiếu nại ghi ngày …… tháng …… năm ……(4) của ……………(5) (do ………………(6)) với nội dung khiếu nại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Luật Khiếu nại số 02/2011/QH13 đã được sửa đổi, bổ sung một số điều; Nghị định số 124/2020/NĐ-CP ngày 19 tháng 10 năm 2020 của Chính phủ quy định chi tiết một số điều và biện pháp thi hành Luật Khiếu nại, đã được sửa đổi, bổ sung theo Nghị định số 155/2026/NĐ-CP ngày 15 tháng 5 năm 2026 của Chính phủ; Thông tư số 05/2021/TT-TTCP ngày 01 tháng 10 năm 2021 của Thanh tra Chính phủ quy định quy trình xử lý đơn khiếu nại, đơn tố cáo, đơn kiến nghị, phản ánh, thì khiếu nại nêu trên thuộc thẩm quyền giải quyết của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Vì vậy, Thanh tra Thành phố hướng dẫn ……………(5) lập đơn khiếu nại theo Mẫu số 01 ban hành kèm theo Nghị định số 124/2020/NĐ-CP (được sửa đổi, bổ sung theo Nghị định số 155/2026/NĐ-CP), bổ sung đầy đủ thông tin, tài liệu có liên quan và gửi đến ………………(8) để được xem xét, giải quyết theo thẩm quyền./.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và các thông tin, tài liệu gửi kèm theo đơn (nếu có) mà Thanh tra Thành phố tiếp nhận ngày …… tháng …… năm ……(9))</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chuyển đơn (nếu có);</w:t>
            </w:r>
          </w:p>
          <w:p>
            <w:pPr>
              <w:spacing w:before="0" w:after="0" w:lineRule="auto" w:line="276"/>
              <w:jc w:val="left"/>
            </w:pPr>
            <w:r>
              <w:rPr>
                <w:rFonts w:ascii="Times New Roman" w:hAnsi="Times New Roman" w:eastAsia="Times New Roman"/>
                <w:b w:val="0"/>
                <w:i w:val="0"/>
                <w:sz w:val="22"/>
              </w:rPr>
              <w:t>- Lưu: VT, ……(10).</w:t>
            </w:r>
          </w:p>
        </w:tc>
        <w:tc>
          <w:tcPr>
            <w:tcW w:type="dxa" w:w="4819"/>
          </w:tcPr>
          <w:p>
            <w:pPr>
              <w:spacing w:before="0" w:after="0" w:lineRule="auto" w:line="276"/>
              <w:jc w:val="center"/>
            </w:pPr>
            <w:r>
              <w:rPr>
                <w:rFonts w:ascii="Times New Roman" w:hAnsi="Times New Roman" w:eastAsia="Times New Roman"/>
                <w:b/>
                <w:i w:val="0"/>
                <w:sz w:val="26"/>
              </w:rPr>
              <w:t>………………………(11)</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hướng dẫn. Ví dụ: Phiếu hướng dẫn do Phòng 1 tham mưu ghi là "PHD-TTTP-P1".</w:t>
      </w:r>
    </w:p>
    <w:p>
      <w:pPr>
        <w:spacing w:before="0" w:after="0" w:lineRule="auto" w:line="312"/>
        <w:jc w:val="both"/>
      </w:pPr>
      <w:r>
        <w:rPr>
          <w:rFonts w:ascii="Times New Roman" w:hAnsi="Times New Roman" w:eastAsia="Times New Roman"/>
          <w:b w:val="0"/>
          <w:i w:val="0"/>
          <w:sz w:val="22"/>
        </w:rPr>
        <w:t>(2) Họ và tên người khiếu nại (người viết đơn). Trường hợp đơn có họ tên, chữ ký của nhiều người thì chỉ hướng dẫn cho một người khiếu nại có địa chỉ rõ ràng.</w:t>
      </w:r>
    </w:p>
    <w:p>
      <w:pPr>
        <w:spacing w:before="0" w:after="0" w:lineRule="auto" w:line="312"/>
        <w:jc w:val="both"/>
      </w:pPr>
      <w:r>
        <w:rPr>
          <w:rFonts w:ascii="Times New Roman" w:hAnsi="Times New Roman" w:eastAsia="Times New Roman"/>
          <w:b w:val="0"/>
          <w:i w:val="0"/>
          <w:sz w:val="22"/>
        </w:rPr>
        <w:t>(3) Địa chỉ của người khiếu nại ghi trên đơn. Ví dụ: "số 15 đường Nguyễn Gia Thiều, Phường Xuân Hòa, Thành phố Hồ Chí Minh".</w:t>
      </w:r>
    </w:p>
    <w:p>
      <w:pPr>
        <w:spacing w:before="0" w:after="0" w:lineRule="auto" w:line="312"/>
        <w:jc w:val="both"/>
      </w:pPr>
      <w:r>
        <w:rPr>
          <w:rFonts w:ascii="Times New Roman" w:hAnsi="Times New Roman" w:eastAsia="Times New Roman"/>
          <w:b w:val="0"/>
          <w:i w:val="0"/>
          <w:sz w:val="22"/>
        </w:rPr>
        <w:t>(4)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(5) Đại từ xưng hô phù hợp với chỉ số (2). Ví dụ: chỉ số (2) là "ông Nguyễn Văn A" thì ghi "Ông"; là "ông Nguyễn Văn A – bà Lê Thị B" thì ghi "Ông/Bà".</w:t>
      </w:r>
    </w:p>
    <w:p>
      <w:pPr>
        <w:spacing w:before="0" w:after="0" w:lineRule="auto" w:line="312"/>
        <w:jc w:val="both"/>
      </w:pPr>
      <w:r>
        <w:rPr>
          <w:rFonts w:ascii="Times New Roman" w:hAnsi="Times New Roman" w:eastAsia="Times New Roman"/>
          <w:b w:val="0"/>
          <w:i w:val="0"/>
          <w:sz w:val="22"/>
        </w:rPr>
        <w:t>(6)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(7) Tóm tắt nội dung khiếu nại, nêu rõ quyết định hành chính hoặc hành vi hành chính bị khiếu nại. Ví dụ: "khiếu nại Quyết định số …/QĐ-UBND ngày …/…/… về thu hồi đất".</w:t>
      </w:r>
    </w:p>
    <w:p>
      <w:pPr>
        <w:spacing w:before="0" w:after="0" w:lineRule="auto" w:line="312"/>
        <w:jc w:val="both"/>
      </w:pPr>
      <w:r>
        <w:rPr>
          <w:rFonts w:ascii="Times New Roman" w:hAnsi="Times New Roman" w:eastAsia="Times New Roman"/>
          <w:b w:val="0"/>
          <w:i w:val="0"/>
          <w:sz w:val="22"/>
        </w:rPr>
        <w:t>(8) Chức danh người có thẩm quyền hoặc cơ quan có thẩm quyền giải quyết khiếu nại. Ví dụ: "Chủ tịch Ủy ban nhân dân Phường Xuân Hòa"; trường hợp thuộc thẩm quyền của Chủ tịch Ủy ban nhân dân Thành phố thì ghi thêm "thông qua Ban Tiếp công dân Thành phố Hồ Chí Minh, địa chỉ số 15 đường Nguyễn Gia Thiều, Phường Xuân Hòa, Thành phố Hồ Chí Minh".</w:t>
      </w:r>
    </w:p>
    <w:p>
      <w:pPr>
        <w:spacing w:before="0" w:after="0" w:lineRule="auto" w:line="312"/>
        <w:jc w:val="both"/>
      </w:pPr>
      <w:r>
        <w:rPr>
          <w:rFonts w:ascii="Times New Roman" w:hAnsi="Times New Roman" w:eastAsia="Times New Roman"/>
          <w:b w:val="0"/>
          <w:i w:val="0"/>
          <w:sz w:val="22"/>
        </w:rPr>
        <w:t>(9) Ngày Thanh tra Thành phố tiếp nhận đơn, là ngày Văn phòng ghi trong dấu "Văn bản đến".</w:t>
      </w:r>
    </w:p>
    <w:p>
      <w:pPr>
        <w:spacing w:before="0" w:after="0" w:lineRule="auto" w:line="312"/>
        <w:jc w:val="both"/>
      </w:pPr>
      <w:r>
        <w:rPr>
          <w:rFonts w:ascii="Times New Roman" w:hAnsi="Times New Roman" w:eastAsia="Times New Roman"/>
          <w:b w:val="0"/>
          <w:i w:val="0"/>
          <w:sz w:val="22"/>
        </w:rPr>
        <w:t>(10) Chữ viết tắt tên phòng, đơn vị soạn thảo, tên viết tắt của người soạn thảo và số lượng bản phát hành. Ví dụ: "P1/NVA.5b".</w:t>
      </w:r>
    </w:p>
    <w:p>
      <w:pPr>
        <w:spacing w:before="0" w:after="0" w:lineRule="auto" w:line="312"/>
        <w:jc w:val="both"/>
      </w:pPr>
      <w:r>
        <w:rPr>
          <w:rFonts w:ascii="Times New Roman" w:hAnsi="Times New Roman" w:eastAsia="Times New Roman"/>
          <w:b w:val="0"/>
          <w:i w:val="0"/>
          <w:sz w:val="22"/>
        </w:rPr>
        <w:t>(11) Chức danh người có thẩm quyền ký phiếu hướng dẫn.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2 Điều 7, khoản 1 Điều 8 và Điều 10 Thông tư số 05/2021/TT-TTCP (Mẫu số 02); việc hướng dẫn chỉ thực hiện một lần đối với cùng một nội dung khiếu nại; Điều 7, Điều 9, Điều 17 và khoản 2 Điều 21 Luật Khiếu nại số 02/2011/QH13 đã được sửa đổi, bổ sung.</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