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……/ĐX-TTTP-……(1)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ĐỀ XUẤT THỤ LÝ ĐƠN ……………(2)</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……(4), Thanh tra Thành phố nhận được đơn ……………(2) ghi ngày …… tháng …… năm ……(5) của ông (bà) ………………(6) (do ………………(7)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Nội dung đơn: ………………………………………………………………(10)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Vụ việc đã được ………………(11) giải quyết tại ………………(12)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xem xét nội dung đơn, thông tin, tài liệu kèm theo đơn và đối chiếu với quy định của pháp luật, đơn nêu trên thuộc thẩm quyền giải quyết và không thuộc trường hợp không được thụ lý giải quyết; ………………(13) đề xuất ………………(3) thụ lý để giải quyết theo quy định của pháp luật.</w:t>
      </w:r>
    </w:p>
    <w:p>
      <w:pPr>
        <w:spacing w:before="0" w:after="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3118"/>
        <w:gridCol w:w="3118"/>
        <w:gridCol w:w="3118"/>
      </w:tblGrid>
      <w:tr>
        <w:tc>
          <w:tcPr>
            <w:tcW w:type="dxa" w:w="3118"/>
          </w:tcPr>
          <w:p>
            <w:pPr>
              <w:spacing w:before="0" w:after="0"/>
              <w:jc w:val="center"/>
            </w:pPr>
            <w:r>
              <w:rPr>
                <w:rFonts w:ascii="Times New Roman" w:hAnsi="Times New Roman" w:eastAsia="Times New Roman"/>
                <w:b/>
                <w:i w:val="0"/>
                <w:sz w:val="24"/>
              </w:rPr>
              <w:t>Phê duyệt của ……(3)</w:t>
            </w:r>
          </w:p>
          <w:p>
            <w:pPr>
              <w:spacing w:before="0" w:after="0"/>
              <w:jc w:val="center"/>
            </w:pPr>
            <w:r>
              <w:rPr>
                <w:rFonts w:ascii="Times New Roman" w:hAnsi="Times New Roman" w:eastAsia="Times New Roman"/>
                <w:b/>
                <w:i w:val="0"/>
                <w:sz w:val="24"/>
              </w:rPr>
              <w:t>Ngày …… tháng …… năm ……</w:t>
            </w:r>
          </w:p>
          <w:p>
            <w:pPr>
              <w:spacing w:before="0" w:after="0"/>
              <w:jc w:val="center"/>
            </w:pPr>
            <w:r>
              <w:rPr>
                <w:rFonts w:ascii="Times New Roman" w:hAnsi="Times New Roman" w:eastAsia="Times New Roman"/>
                <w:b/>
                <w:i w:val="0"/>
                <w:sz w:val="24"/>
              </w:rPr>
              <w:t>(Ký, ghi rõ họ tên)</w:t>
            </w:r>
          </w:p>
        </w:tc>
        <w:tc>
          <w:tcPr>
            <w:tcW w:type="dxa" w:w="3118"/>
          </w:tcPr>
          <w:p>
            <w:pPr>
              <w:spacing w:before="0" w:after="0"/>
              <w:jc w:val="center"/>
            </w:pPr>
            <w:r>
              <w:rPr>
                <w:rFonts w:ascii="Times New Roman" w:hAnsi="Times New Roman" w:eastAsia="Times New Roman"/>
                <w:b/>
                <w:i w:val="0"/>
                <w:sz w:val="24"/>
              </w:rPr>
              <w:t>Lãnh đạo đơn vị đề xuất</w:t>
            </w:r>
          </w:p>
          <w:p>
            <w:pPr>
              <w:spacing w:before="0" w:after="0"/>
              <w:jc w:val="center"/>
            </w:pPr>
            <w:r>
              <w:rPr>
                <w:rFonts w:ascii="Times New Roman" w:hAnsi="Times New Roman" w:eastAsia="Times New Roman"/>
                <w:b/>
                <w:i w:val="0"/>
                <w:sz w:val="24"/>
              </w:rPr>
            </w:r>
          </w:p>
          <w:p>
            <w:pPr>
              <w:spacing w:before="0" w:after="0"/>
              <w:jc w:val="center"/>
            </w:pPr>
            <w:r>
              <w:rPr>
                <w:rFonts w:ascii="Times New Roman" w:hAnsi="Times New Roman" w:eastAsia="Times New Roman"/>
                <w:b/>
                <w:i w:val="0"/>
                <w:sz w:val="24"/>
              </w:rPr>
              <w:t>(Ký, ghi rõ họ tên)</w:t>
            </w:r>
          </w:p>
        </w:tc>
        <w:tc>
          <w:tcPr>
            <w:tcW w:type="dxa" w:w="3118"/>
          </w:tcPr>
          <w:p>
            <w:pPr>
              <w:spacing w:before="0" w:after="0"/>
              <w:jc w:val="center"/>
            </w:pPr>
            <w:r>
              <w:rPr>
                <w:rFonts w:ascii="Times New Roman" w:hAnsi="Times New Roman" w:eastAsia="Times New Roman"/>
                <w:b/>
                <w:i w:val="0"/>
                <w:sz w:val="24"/>
              </w:rPr>
              <w:t>Người đề xuất</w:t>
            </w:r>
          </w:p>
          <w:p>
            <w:pPr>
              <w:spacing w:before="0" w:after="0"/>
              <w:jc w:val="center"/>
            </w:pPr>
            <w:r>
              <w:rPr>
                <w:rFonts w:ascii="Times New Roman" w:hAnsi="Times New Roman" w:eastAsia="Times New Roman"/>
                <w:b/>
                <w:i w:val="0"/>
                <w:sz w:val="24"/>
              </w:rPr>
            </w:r>
          </w:p>
          <w:p>
            <w:pPr>
              <w:spacing w:before="0" w:after="0"/>
              <w:jc w:val="center"/>
            </w:pPr>
            <w:r>
              <w:rPr>
                <w:rFonts w:ascii="Times New Roman" w:hAnsi="Times New Roman" w:eastAsia="Times New Roman"/>
                <w:b/>
                <w:i w:val="0"/>
                <w:sz w:val="24"/>
              </w:rPr>
              <w:t>(Ký, ghi rõ họ tên)</w:t>
            </w:r>
          </w:p>
        </w:tc>
      </w:tr>
    </w:tbl>
    <w:p>
      <w:pPr>
        <w:spacing w:before="0" w:after="4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xử lý đơn. Ví dụ: Phiếu đề xuất do Phòng 1 tham mưu ghi là "ĐX-TTTP-P1".</w:t>
      </w:r>
    </w:p>
    <w:p>
      <w:pPr>
        <w:spacing w:before="0" w:after="0" w:lineRule="auto" w:line="312"/>
        <w:jc w:val="both"/>
      </w:pPr>
      <w:r>
        <w:rPr>
          <w:rFonts w:ascii="Times New Roman" w:hAnsi="Times New Roman" w:eastAsia="Times New Roman"/>
          <w:b w:val="0"/>
          <w:i w:val="0"/>
          <w:sz w:val="22"/>
        </w:rPr>
        <w:t>(2) Loại đơn được đề xuất thụ lý: ghi "KHIẾU NẠI" hoặc "TỐ CÁO" (ghi thống nhất ở cả tên phiếu và phần nội dung).</w:t>
      </w:r>
    </w:p>
    <w:p>
      <w:pPr>
        <w:spacing w:before="0" w:after="0" w:lineRule="auto" w:line="312"/>
        <w:jc w:val="both"/>
      </w:pPr>
      <w:r>
        <w:rPr>
          <w:rFonts w:ascii="Times New Roman" w:hAnsi="Times New Roman" w:eastAsia="Times New Roman"/>
          <w:b w:val="0"/>
          <w:i w:val="0"/>
          <w:sz w:val="22"/>
        </w:rPr>
        <w:t>(3) Chức danh người đứng đầu cơ quan, tổ chức, đơn vị có thẩm quyền giải quyết. Ví dụ: "Chánh Thanh tra Thành phố Hồ Chí Minh".</w:t>
      </w:r>
    </w:p>
    <w:p>
      <w:pPr>
        <w:spacing w:before="0" w:after="0" w:lineRule="auto" w:line="312"/>
        <w:jc w:val="both"/>
      </w:pPr>
      <w:r>
        <w:rPr>
          <w:rFonts w:ascii="Times New Roman" w:hAnsi="Times New Roman" w:eastAsia="Times New Roman"/>
          <w:b w:val="0"/>
          <w:i w:val="0"/>
          <w:sz w:val="22"/>
        </w:rPr>
        <w:t>(4)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(5)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(6) Họ và tên người khiếu nại hoặc người tố cáo; trường hợp có nhiều người thì ghi họ và tên người đại diện kèm theo số người.</w:t>
      </w:r>
    </w:p>
    <w:p>
      <w:pPr>
        <w:spacing w:before="0" w:after="0" w:lineRule="auto" w:line="312"/>
        <w:jc w:val="both"/>
      </w:pPr>
      <w:r>
        <w:rPr>
          <w:rFonts w:ascii="Times New Roman" w:hAnsi="Times New Roman" w:eastAsia="Times New Roman"/>
          <w:b w:val="0"/>
          <w:i w:val="0"/>
          <w:sz w:val="22"/>
        </w:rPr>
        <w:t>(7) Nguồn tiếp nhận đơn: "dịch vụ bưu chính",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(8) Địa chỉ của người khiếu nại, người tố cáo ghi trên đơn.</w:t>
      </w:r>
    </w:p>
    <w:p>
      <w:pPr>
        <w:spacing w:before="0" w:after="0" w:lineRule="auto" w:line="312"/>
        <w:jc w:val="both"/>
      </w:pPr>
      <w:r>
        <w:rPr>
          <w:rFonts w:ascii="Times New Roman" w:hAnsi="Times New Roman" w:eastAsia="Times New Roman"/>
          <w:b w:val="0"/>
          <w:i w:val="0"/>
          <w:sz w:val="22"/>
        </w:rPr>
        <w:t>(9) Số căn cước hoặc giấy chứng nhận căn cước hoặc số định danh cá nhân hoặc số hộ chiếu của người khiếu nại, người tố cáo (ghi theo giấy tờ do người gửi đơn cung cấp).</w:t>
      </w:r>
    </w:p>
    <w:p>
      <w:pPr>
        <w:spacing w:before="0" w:after="0" w:lineRule="auto" w:line="312"/>
        <w:jc w:val="both"/>
      </w:pPr>
      <w:r>
        <w:rPr>
          <w:rFonts w:ascii="Times New Roman" w:hAnsi="Times New Roman" w:eastAsia="Times New Roman"/>
          <w:b w:val="0"/>
          <w:i w:val="0"/>
          <w:sz w:val="22"/>
        </w:rPr>
        <w:t>(10) Trích yếu tóm tắt nội dung đơn; đơn tố cáo ghi rõ người bị tố cáo và hành vi vi phạm pháp luật bị tố cáo.</w:t>
      </w:r>
    </w:p>
    <w:p>
      <w:pPr>
        <w:spacing w:before="0" w:after="0" w:lineRule="auto" w:line="312"/>
        <w:jc w:val="both"/>
      </w:pPr>
      <w:r>
        <w:rPr>
          <w:rFonts w:ascii="Times New Roman" w:hAnsi="Times New Roman" w:eastAsia="Times New Roman"/>
          <w:b w:val="0"/>
          <w:i w:val="0"/>
          <w:sz w:val="22"/>
        </w:rPr>
        <w:t>(11) Người có thẩm quyền đã giải quyết vụ việc trước đó (nếu có).</w:t>
      </w:r>
    </w:p>
    <w:p>
      <w:pPr>
        <w:spacing w:before="0" w:after="0" w:lineRule="auto" w:line="312"/>
        <w:jc w:val="both"/>
      </w:pPr>
      <w:r>
        <w:rPr>
          <w:rFonts w:ascii="Times New Roman" w:hAnsi="Times New Roman" w:eastAsia="Times New Roman"/>
          <w:b w:val="0"/>
          <w:i w:val="0"/>
          <w:sz w:val="22"/>
        </w:rPr>
        <w:t>(12) Số, ký hiệu, ngày tháng năm của quyết định giải quyết khiếu nại hoặc kết luận nội dung tố cáo đã ban hành (nếu có).</w:t>
      </w:r>
    </w:p>
    <w:p>
      <w:pPr>
        <w:spacing w:before="0" w:after="0" w:lineRule="auto" w:line="312"/>
        <w:jc w:val="both"/>
      </w:pPr>
      <w:r>
        <w:rPr>
          <w:rFonts w:ascii="Times New Roman" w:hAnsi="Times New Roman" w:eastAsia="Times New Roman"/>
          <w:b w:val="0"/>
          <w:i w:val="0"/>
          <w:sz w:val="22"/>
        </w:rPr>
        <w:t>(13) Tên phòng, đơn vị được giao xử lý đơn và đề xuất thụ lý.</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Căn cứ: Điều 7 và Điều 13 Thông tư số 05/2021/TT-TTCP ngày 01/10/2021 của Thanh tra Chính phủ (Mẫu số 01); Điều 11, Điều 27 Luật Khiếu nại số 02/2011/QH13 đã được sửa đổi, bổ sung (thụ lý khiếu nại lần đầu trong 07 ngày làm việc); khoản 1 Điều 29 Luật Tố cáo số 25/2018/QH14 đã được sửa đổi, bổ sung (điều kiện thụ lý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