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THÔNG BÁO</w:t>
      </w:r>
    </w:p>
    <w:p>
      <w:pPr>
        <w:spacing w:before="0" w:after="0" w:lineRule="auto" w:line="312"/>
        <w:jc w:val="center"/>
      </w:pPr>
      <w:r>
        <w:rPr>
          <w:rFonts w:ascii="Times New Roman" w:hAnsi="Times New Roman" w:eastAsia="Times New Roman"/>
          <w:b/>
          <w:i w:val="0"/>
          <w:sz w:val="26"/>
        </w:rPr>
        <w:t>Về việc tổ chức tiếp công dân trực tuyến</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Điều 3a Luật Tiếp công dân;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các điều 16, 17, 18, 19, 20, 21, 22 và 23 Nghị định số 154/2026/NĐ-CP ngày 15 tháng 5 năm 2026 của Chính phủ quy định chi tiết một số điều và biện pháp tổ chức thi hành Luật Tiếp công dân;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Xét nội dung vụ việc và đề nghị của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thông báo việc tổ chức tiếp công dân trực tuyến như sau: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Vụ việc tiếp công dân trực tuyến</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Công dân được tiếp: ông (bà) ………………(4), số căn cước hoặc giấy chứng nhận căn cước hoặc số định danh cá nhân hoặc số hộ chiếu: ………………, địa chỉ: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Nội dung vụ việc: ………………………………………………………(5)</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Lý do tổ chức tiếp công dân trực tuyến: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Thời gian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Từ …… giờ …… phút, ngày …… tháng …… năm ……… (thứ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3. Điểm cầu trung tâm</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4. Điểm cầu thành phần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5. Nền tảng, hệ thống sử dụng</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Buổi tiếp công dân trực tuyến được thực hiện trên ………………(9), do cơ quan có thẩm quyền quản lý, vận hành; thông tin tài khoản, mật khẩu truy cập được cung cấp cho các điểm cầu thành phần trước buổi tiếp.</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6. Thành phần tham gia</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Tại điểm cầu trung tâm: người chủ trì tiếp công dân; phòng, đơn vị được giao tham mưu vụ việc; người ghi biên bản; bộ phận kỹ thuật.(10)</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Tại điểm cầu thành phần: đại diện cơ quan, tổ chức, đơn vị có liên quan đến vụ việc; những người khác có liên quan (nếu có).(11)</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Công dân, người đại diện, người được ủy quyền (nếu có) đăng ký tham gia tại điểm cầu trung tâm hoặc điểm cầu thành phần theo nguyện vọng và thông báo cho điểm cầu trung tâm trước ngày tiếp.</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7. Yêu cầu về điều kiện kỹ thuật</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Bảo đảm kết nối mạng ổn định, truyền tải dữ liệu, âm thanh, hình ảnh liên tục, thông suốt.</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Có thiết bị, phần mềm phù hợp, bảo đảm khả năng tương tác trực tiếp giữa các điểm cầu.</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Có chức năng ghi âm, ghi hình, lưu trữ đầy đủ diễn biến buổi tiếp công dân dưới dạng dữ liệu điện tử.</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Địa điểm đặt điểm cầu bảo đảm trang nghiêm, yên tĩnh, đủ điều kiện để buổi tiếp công dân được thực hiện nghiêm túc, đúng quy định; bảo đảm an toàn, an ninh thông tin, dữ liệu.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8. Yêu cầu đối với người tham gia</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Mặc trang phục nghiêm chỉnh; chấp hành nghiêm túc Nội quy tiếp công dân tại nơi tiếp công dân.</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Luôn để thiết bị điện tử ở trạng thái mở camera; chỉ bật micro khi được yêu cầu phát biểu; không tạo tạp âm gây ảnh hưởng đến buổi tiếp công dân trực tuyến.</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Công dân, người đại diện, người được ủy quyền phải nêu rõ họ tên, địa chỉ, số căn cước hoặc giấy chứng nhận căn cước hoặc số định danh cá nhân hoặc số hộ chiếu; trường hợp được ủy quyền phải có văn bản ủy quyền hợp pháp và gửi trước bản chụp cho điểm cầu trung tâm.</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Trường hợp nhiều người cùng khiếu nại, tố cáo, kiến nghị, phản ánh về một nội dung thì phải cử người đại diện tham gia buổi tiếp công dân trực tuyến.</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Không tự ý ghi âm, ghi hình, phát trực tiếp buổi tiếp công dân khi người chủ trì đã yêu cầu không thực hiện.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9. Tổ chức thực hiện</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Chậm nhất 01 ngày làm việc trước ngày tiếp công dân trực tuyến, điểm cầu trung tâm kiểm tra, chuẩn bị điều kiện và kết nối thử thành công với các điểm cầu thành phần.</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Chậm nhất 01 giờ trước khi diễn ra buổi tiếp công dân trực tuyến, điểm cầu trung tâm hoàn thành việc kết nối với các điểm cầu thành phần, bảo đảm các điểm cầu đều nhìn thấy hình ảnh và nghe rõ âm thanh của nhau.</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Các điểm cầu thành phần chủ động phối hợp với điểm cầu trung tâm trong việc cung cấp, tiếp nhận tài khoản, mật khẩu để kết nối với hệ thống trực tuyến.</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Đầu mối liên hệ: ông (bà) ………………, số điện thoại: ………………, thư điện tử: ………………(12).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thông báo để các cơ quan, tổ chức, đơn vị và công dân có tên nêu trên biết, thực hiện./.</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Ủy ban nhân dân Thành phố (để báo cáo);</w:t>
            </w:r>
          </w:p>
          <w:p>
            <w:pPr>
              <w:spacing w:before="0" w:after="0" w:lineRule="auto" w:line="276"/>
              <w:jc w:val="left"/>
            </w:pPr>
            <w:r>
              <w:rPr>
                <w:rFonts w:ascii="Times New Roman" w:hAnsi="Times New Roman" w:eastAsia="Times New Roman"/>
                <w:b w:val="0"/>
                <w:i w:val="0"/>
                <w:sz w:val="22"/>
              </w:rPr>
              <w:t>- ……(13) (để phối hợp);</w:t>
            </w:r>
          </w:p>
          <w:p>
            <w:pPr>
              <w:spacing w:before="0" w:after="0" w:lineRule="auto" w:line="276"/>
              <w:jc w:val="left"/>
            </w:pPr>
            <w:r>
              <w:rPr>
                <w:rFonts w:ascii="Times New Roman" w:hAnsi="Times New Roman" w:eastAsia="Times New Roman"/>
                <w:b w:val="0"/>
                <w:i w:val="0"/>
                <w:sz w:val="22"/>
              </w:rPr>
              <w:t>- Lưu: VT, hồ sơ, ……(14).</w:t>
            </w:r>
          </w:p>
        </w:tc>
        <w:tc>
          <w:tcPr>
            <w:tcW w:type="dxa" w:w="4819"/>
          </w:tcPr>
          <w:p>
            <w:pPr>
              <w:spacing w:before="0" w:after="0" w:lineRule="auto" w:line="276"/>
              <w:jc w:val="center"/>
            </w:pPr>
            <w:r>
              <w:rPr>
                <w:rFonts w:ascii="Times New Roman" w:hAnsi="Times New Roman" w:eastAsia="Times New Roman"/>
                <w:b/>
                <w:i w:val="0"/>
                <w:sz w:val="26"/>
              </w:rPr>
              <w:t>CHÁNH THANH TRA</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chủ trì tham mưu tổ chức buổi tiếp công dân trực tuyến (ví dụ: Số: 318/TB-TTTP-P1).</w:t>
      </w:r>
    </w:p>
    <w:p>
      <w:pPr>
        <w:spacing w:before="0" w:after="0" w:lineRule="auto" w:line="312"/>
        <w:jc w:val="both"/>
      </w:pPr>
      <w:r>
        <w:rPr>
          <w:rFonts w:ascii="Times New Roman" w:hAnsi="Times New Roman" w:eastAsia="Times New Roman"/>
          <w:b w:val="0"/>
          <w:i w:val="0"/>
          <w:sz w:val="22"/>
        </w:rPr>
        <w:t>(2) Tên công dân, cơ quan, tổ chức, đơn vị được mời tham gia buổi tiếp công dân trực tuyến (ví dụ: Ông Nguyễn Văn A; Ủy ban nhân dân phường …; Sở Nông nghiệp và Môi trường).</w:t>
      </w:r>
    </w:p>
    <w:p>
      <w:pPr>
        <w:spacing w:before="0" w:after="0" w:lineRule="auto" w:line="312"/>
        <w:jc w:val="both"/>
      </w:pPr>
      <w:r>
        <w:rPr>
          <w:rFonts w:ascii="Times New Roman" w:hAnsi="Times New Roman" w:eastAsia="Times New Roman"/>
          <w:b w:val="0"/>
          <w:i w:val="0"/>
          <w:sz w:val="22"/>
        </w:rPr>
        <w:t>(3) Tên phòng, đơn vị hoặc cơ quan đề xuất tổ chức tiếp công dân trực tuyến; hoặc ghi nguyện vọng của công dân đề nghị được tiếp trực tuyến.</w:t>
      </w:r>
    </w:p>
    <w:p>
      <w:pPr>
        <w:spacing w:before="0" w:after="0" w:lineRule="auto" w:line="312"/>
        <w:jc w:val="both"/>
      </w:pPr>
      <w:r>
        <w:rPr>
          <w:rFonts w:ascii="Times New Roman" w:hAnsi="Times New Roman" w:eastAsia="Times New Roman"/>
          <w:b w:val="0"/>
          <w:i w:val="0"/>
          <w:sz w:val="22"/>
        </w:rPr>
        <w:t>(4) Họ và tên công dân được tiếp; trường hợp nhiều người cùng nội dung thì ghi họ tên người đại diện và số người có cùng nội dung.</w:t>
      </w:r>
    </w:p>
    <w:p>
      <w:pPr>
        <w:spacing w:before="0" w:after="0" w:lineRule="auto" w:line="312"/>
        <w:jc w:val="both"/>
      </w:pPr>
      <w:r>
        <w:rPr>
          <w:rFonts w:ascii="Times New Roman" w:hAnsi="Times New Roman" w:eastAsia="Times New Roman"/>
          <w:b w:val="0"/>
          <w:i w:val="0"/>
          <w:sz w:val="22"/>
        </w:rPr>
        <w:t>(5) Tóm tắt nội dung khiếu nại, tố cáo, kiến nghị, phản ánh và quá trình giải quyết của các cơ quan có thẩm quyền (nếu có).</w:t>
      </w:r>
    </w:p>
    <w:p>
      <w:pPr>
        <w:spacing w:before="0" w:after="0" w:lineRule="auto" w:line="312"/>
        <w:jc w:val="both"/>
      </w:pPr>
      <w:r>
        <w:rPr>
          <w:rFonts w:ascii="Times New Roman" w:hAnsi="Times New Roman" w:eastAsia="Times New Roman"/>
          <w:b w:val="0"/>
          <w:i w:val="0"/>
          <w:sz w:val="22"/>
        </w:rPr>
        <w:t>(6) Lý do tổ chức tiếp trực tuyến theo Điều 20 Nghị định số 154/2026/NĐ-CP (ví dụ: vụ việc khiếu nại phức tạp, kéo dài, cần sự phối hợp giải quyết của nhiều cơ quan ở các địa điểm khác nhau; công dân là người già yếu, người khuyết tật có nguyện vọng được tiếp trực tuyến).</w:t>
      </w:r>
    </w:p>
    <w:p>
      <w:pPr>
        <w:spacing w:before="0" w:after="0" w:lineRule="auto" w:line="312"/>
        <w:jc w:val="both"/>
      </w:pPr>
      <w:r>
        <w:rPr>
          <w:rFonts w:ascii="Times New Roman" w:hAnsi="Times New Roman" w:eastAsia="Times New Roman"/>
          <w:b w:val="0"/>
          <w:i w:val="0"/>
          <w:sz w:val="22"/>
        </w:rPr>
        <w:t>(7) Tên, địa chỉ điểm cầu trung tâm và họ tên, chức vụ người chủ trì (ví dụ: Phòng họp trực tuyến, Thanh tra Thành phố Hồ Chí Minh, số 13 đường Trần Quốc Thảo, phường Xuân Hòa, Thành phố Hồ Chí Minh).</w:t>
      </w:r>
    </w:p>
    <w:p>
      <w:pPr>
        <w:spacing w:before="0" w:after="0" w:lineRule="auto" w:line="312"/>
        <w:jc w:val="both"/>
      </w:pPr>
      <w:r>
        <w:rPr>
          <w:rFonts w:ascii="Times New Roman" w:hAnsi="Times New Roman" w:eastAsia="Times New Roman"/>
          <w:b w:val="0"/>
          <w:i w:val="0"/>
          <w:sz w:val="22"/>
        </w:rPr>
        <w:t>(8) Tên, địa chỉ từng điểm cầu thành phần và cơ quan, tổ chức chịu trách nhiệm bảo đảm điều kiện tại điểm cầu đó.</w:t>
      </w:r>
    </w:p>
    <w:p>
      <w:pPr>
        <w:spacing w:before="0" w:after="0" w:lineRule="auto" w:line="312"/>
        <w:jc w:val="both"/>
      </w:pPr>
      <w:r>
        <w:rPr>
          <w:rFonts w:ascii="Times New Roman" w:hAnsi="Times New Roman" w:eastAsia="Times New Roman"/>
          <w:b w:val="0"/>
          <w:i w:val="0"/>
          <w:sz w:val="22"/>
        </w:rPr>
        <w:t>(9) Tên hệ thống truyền hình trực tuyến hoặc nền tảng số tập trung do Thanh tra Chính phủ hoặc cơ quan có thẩm quyền quản lý, vận hành được sử dụng cho buổi tiếp.</w:t>
      </w:r>
    </w:p>
    <w:p>
      <w:pPr>
        <w:spacing w:before="0" w:after="0" w:lineRule="auto" w:line="312"/>
        <w:jc w:val="both"/>
      </w:pPr>
      <w:r>
        <w:rPr>
          <w:rFonts w:ascii="Times New Roman" w:hAnsi="Times New Roman" w:eastAsia="Times New Roman"/>
          <w:b w:val="0"/>
          <w:i w:val="0"/>
          <w:sz w:val="22"/>
        </w:rPr>
        <w:t>(10) Ghi cụ thể họ tên, chức vụ của người chủ trì và các thành phần bắt buộc tại điểm cầu trung tâm.</w:t>
      </w:r>
    </w:p>
    <w:p>
      <w:pPr>
        <w:spacing w:before="0" w:after="0" w:lineRule="auto" w:line="312"/>
        <w:jc w:val="both"/>
      </w:pPr>
      <w:r>
        <w:rPr>
          <w:rFonts w:ascii="Times New Roman" w:hAnsi="Times New Roman" w:eastAsia="Times New Roman"/>
          <w:b w:val="0"/>
          <w:i w:val="0"/>
          <w:sz w:val="22"/>
        </w:rPr>
        <w:t>(11) Ghi cụ thể tên cơ quan, tổ chức và họ tên, chức vụ người tham dự tại từng điểm cầu thành phần.</w:t>
      </w:r>
    </w:p>
    <w:p>
      <w:pPr>
        <w:spacing w:before="0" w:after="0" w:lineRule="auto" w:line="312"/>
        <w:jc w:val="both"/>
      </w:pPr>
      <w:r>
        <w:rPr>
          <w:rFonts w:ascii="Times New Roman" w:hAnsi="Times New Roman" w:eastAsia="Times New Roman"/>
          <w:b w:val="0"/>
          <w:i w:val="0"/>
          <w:sz w:val="22"/>
        </w:rPr>
        <w:t>(12) Họ tên, số điện thoại, thư điện tử của công chức đầu mối kỹ thuật và đầu mối nghiệp vụ để các điểm cầu liên hệ.</w:t>
      </w:r>
    </w:p>
    <w:p>
      <w:pPr>
        <w:spacing w:before="0" w:after="0" w:lineRule="auto" w:line="312"/>
        <w:jc w:val="both"/>
      </w:pPr>
      <w:r>
        <w:rPr>
          <w:rFonts w:ascii="Times New Roman" w:hAnsi="Times New Roman" w:eastAsia="Times New Roman"/>
          <w:b w:val="0"/>
          <w:i w:val="0"/>
          <w:sz w:val="22"/>
        </w:rPr>
        <w:t>(13) Tên cơ quan, tổ chức, đơn vị có liên quan cần gửi để phối hợp bảo đảm điều kiện kỹ thuật, an ninh, trật tự.</w:t>
      </w:r>
    </w:p>
    <w:p>
      <w:pPr>
        <w:spacing w:before="0" w:after="0" w:lineRule="auto" w:line="312"/>
        <w:jc w:val="both"/>
      </w:pPr>
      <w:r>
        <w:rPr>
          <w:rFonts w:ascii="Times New Roman" w:hAnsi="Times New Roman" w:eastAsia="Times New Roman"/>
          <w:b w:val="0"/>
          <w:i w:val="0"/>
          <w:sz w:val="22"/>
        </w:rPr>
        <w:t>(14) Chữ viết tắt tên phòng, đơn vị soạn thảo và số lượng bản lưu.</w:t>
      </w:r>
    </w:p>
    <w:p>
      <w:pPr>
        <w:spacing w:before="0" w:after="0" w:lineRule="auto" w:line="312"/>
        <w:jc w:val="both"/>
      </w:pPr>
      <w:r>
        <w:rPr>
          <w:rFonts w:ascii="Times New Roman" w:hAnsi="Times New Roman" w:eastAsia="Times New Roman"/>
          <w:b w:val="0"/>
          <w:i w:val="0"/>
          <w:sz w:val="22"/>
        </w:rPr>
        <w:t>* Thông báo này phải được gửi chậm nhất là 05 ngày làm việc trước ngày tiếp công dân trực tuyến theo khoản 1 Điều 23 Nghị định số 154/2026/NĐ-CP.</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ký hiệu văn bản và chức danh người ký cho phù hợp với cơ quan mình.</w:t>
      </w:r>
    </w:p>
    <w:p>
      <w:pPr>
        <w:spacing w:before="0" w:after="0" w:lineRule="auto" w:line="312"/>
        <w:jc w:val="both"/>
      </w:pPr>
      <w:r>
        <w:rPr>
          <w:rFonts w:ascii="Times New Roman" w:hAnsi="Times New Roman" w:eastAsia="Times New Roman"/>
          <w:b w:val="0"/>
          <w:i w:val="0"/>
          <w:sz w:val="22"/>
        </w:rPr>
        <w:t>* Căn cứ pháp lý: Điều 3a và Điều 24 Luật Tiếp công dân số 42/2013/QH13 (được bổ sung, sửa đổi theo Luật số 136/2025/QH15); các điều 16, 17, 18, 19, 20, 21, 22, 23 và 24 Nghị định số 154/2026/NĐ-CP ngày 15 tháng 5 năm 2026 của Chính phủ; Nghị định số 30/2020/NĐ-CP ngày 05 tháng 3 năm 2020 của Chính phủ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