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……/BB-TTTP-……(1)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BIÊN BẢN TIẾP CÔNG DÂN</w:t>
      </w:r>
    </w:p>
    <w:p>
      <w:pPr>
        <w:spacing w:before="0" w:after="0" w:lineRule="auto" w:line="312"/>
        <w:jc w:val="center"/>
      </w:pPr>
      <w:r>
        <w:rPr>
          <w:rFonts w:ascii="Times New Roman" w:hAnsi="Times New Roman" w:eastAsia="Times New Roman"/>
          <w:b/>
          <w:i w:val="0"/>
          <w:sz w:val="26"/>
        </w:rPr>
        <w:t>Đối với đơn khiếu nại thuộc thẩm quyền</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 THỜI GIAN, ĐỊA ĐIỂM</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Vào lúc …… giờ …… phút, ngày …… tháng …… năm ………, tại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 THÀNH PHẦN THAM DỰ</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Đại diện Thanh tra Thành phố Hồ Chí Minh</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chức vụ: …………………………… - chủ trì;(3)</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chức vụ: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chức vụ: ………………………… - ghi biên bản.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Người khiếu nại (hoặc người đại diện, người được ủy quyền của người khiếu nại)</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Ông (bà): ………………………………………………, sinh năm: ………;(4)</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Số căn cước hoặc giấy chứng nhận căn cước hoặc số định danh cá nhân hoặc số hộ chiếu: ………………(5),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chỉ: ……………………………………; số điện thoại: ………………………(6);</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Tư cách tham gia: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3. Đại diện cơ quan, tổ chức, đơn vị có liên quan (nếu có)</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Ông (bà): ………………, chức vụ: …………………, đơn vị: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III. NỘI DUNG LÀM VIỆC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Người chủ trì tiếp công dân giải thích quy định của pháp luật về quyền, nghĩa vụ của người khiếu nại, hình thức khiếu nại, thời hiệu khiếu nại, thẩm quyền và trình tự, thủ tục giải quyết khiếu nại. Tại buổi làm việc, ông (bà) ………………(4) trực tiếp trình bày và xác nhận các nội dung sau đây: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Đối tượng, căn cứ khiếu nại và yêu cầu giải quyết</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Đối tượng khiếu nại: ………………………………………………………(9)</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Căn cứ khiếu nại: ………………………………………………………(10)</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Yêu cầu giải quyết: ………………………………………………………(11)</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Ý kiến trình bày của người khiếu nại</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Về thời hiệu khiếu nại: ngày nhận được hoặc biết được quyết định hành chính, hành vi hành chính bị khiếu nại là ngày …… tháng …… năm ………(12).</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Về việc khởi kiện tại Tòa án: ông (bà) ………………(4) xác nhận có/không khởi kiện vụ án hành chính đối với quyết định hành chính, hành vi hành chính đang khiếu nại; vụ việc có/không được Tòa án thụ lý, có/không có bản án, quyết định của Tòa án.(13)</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Ý kiến khác của người khiếu nại (nếu có): ……………………………(14)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3. Hồ sơ, tài liệu cung cấp tại buổi làm việc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4. Ý kiến của Thanh tra Thành phố Hồ Chí Minh</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IV. KẾT THÚC BUỔI TIẾP</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Buổi tiếp công dân kết thúc lúc …… giờ …… phút cùng ngày.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đã được đọc lại cho những người tham dự cùng nghe; những người tham dự thống nhất với nội dung ghi trong biên bản và ký tên dưới đây.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được lập thành 02 bản có giá trị như nhau, giao cho người khiếu nại 01 bản, lưu hồ sơ 01 bản./.</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NGƯỜI KHIẾU NẠI</w:t>
            </w:r>
          </w:p>
          <w:p>
            <w:pPr>
              <w:spacing w:before="0" w:after="0" w:lineRule="auto" w:line="276"/>
              <w:jc w:val="left"/>
            </w:pPr>
            <w:r>
              <w:rPr>
                <w:rFonts w:ascii="Times New Roman" w:hAnsi="Times New Roman" w:eastAsia="Times New Roman"/>
                <w:b w:val="0"/>
                <w:i w:val="0"/>
                <w:sz w:val="22"/>
              </w:rPr>
              <w:t>(Ký, ghi rõ họ tên hoặc điểm chỉ)(17)</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NGƯỜI GHI BIÊN BẢN</w:t>
            </w:r>
          </w:p>
          <w:p>
            <w:pPr>
              <w:spacing w:before="0" w:after="0" w:lineRule="auto" w:line="276"/>
              <w:jc w:val="left"/>
            </w:pPr>
            <w:r>
              <w:rPr>
                <w:rFonts w:ascii="Times New Roman" w:hAnsi="Times New Roman" w:eastAsia="Times New Roman"/>
                <w:b w:val="0"/>
                <w:i w:val="0"/>
                <w:sz w:val="22"/>
              </w:rPr>
              <w:t>(Ký, ghi rõ họ tên)</w:t>
            </w:r>
          </w:p>
        </w:tc>
        <w:tc>
          <w:tcPr>
            <w:tcW w:type="dxa" w:w="4819"/>
          </w:tcPr>
          <w:p>
            <w:pPr>
              <w:spacing w:before="0" w:after="0" w:lineRule="auto" w:line="276"/>
              <w:jc w:val="center"/>
            </w:pPr>
            <w:r>
              <w:rPr>
                <w:rFonts w:ascii="Times New Roman" w:hAnsi="Times New Roman" w:eastAsia="Times New Roman"/>
                <w:b/>
                <w:i w:val="0"/>
                <w:sz w:val="26"/>
              </w:rPr>
              <w:t>NGƯỜI CHỦ TRÌ TIẾP CÔNG DÂN</w:t>
            </w:r>
          </w:p>
          <w:p>
            <w:pPr>
              <w:spacing w:before="0" w:after="0" w:lineRule="auto" w:line="276"/>
              <w:jc w:val="center"/>
            </w:pPr>
            <w:r>
              <w:rPr>
                <w:rFonts w:ascii="Times New Roman" w:hAnsi="Times New Roman" w:eastAsia="Times New Roman"/>
                <w:b w:val="0"/>
                <w:i/>
                <w:sz w:val="26"/>
              </w:rPr>
              <w:t>(Ký, ghi rõ họ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tham mưu giải quyết vụ việc (ví dụ: Số: 52/BB-TTTP-P1).</w:t>
      </w:r>
    </w:p>
    <w:p>
      <w:pPr>
        <w:spacing w:before="0" w:after="0" w:lineRule="auto" w:line="312"/>
        <w:jc w:val="both"/>
      </w:pPr>
      <w:r>
        <w:rPr>
          <w:rFonts w:ascii="Times New Roman" w:hAnsi="Times New Roman" w:eastAsia="Times New Roman"/>
          <w:b w:val="0"/>
          <w:i w:val="0"/>
          <w:sz w:val="22"/>
        </w:rPr>
        <w:t>(2) Tên và địa chỉ nơi tiếp công dân (ví dụ: Phòng tiếp công dân, Thanh tra Thành phố Hồ Chí Minh, số 13 đường Trần Quốc Thảo, phường Xuân Hòa, Thành phố Hồ Chí Minh).</w:t>
      </w:r>
    </w:p>
    <w:p>
      <w:pPr>
        <w:spacing w:before="0" w:after="0" w:lineRule="auto" w:line="312"/>
        <w:jc w:val="both"/>
      </w:pPr>
      <w:r>
        <w:rPr>
          <w:rFonts w:ascii="Times New Roman" w:hAnsi="Times New Roman" w:eastAsia="Times New Roman"/>
          <w:b w:val="0"/>
          <w:i w:val="0"/>
          <w:sz w:val="22"/>
        </w:rPr>
        <w:t>(3) Họ tên, chức vụ của người chủ trì và những người cùng tiếp công dân; ghi rõ người được phân công ghi biên bản.</w:t>
      </w:r>
    </w:p>
    <w:p>
      <w:pPr>
        <w:spacing w:before="0" w:after="0" w:lineRule="auto" w:line="312"/>
        <w:jc w:val="both"/>
      </w:pPr>
      <w:r>
        <w:rPr>
          <w:rFonts w:ascii="Times New Roman" w:hAnsi="Times New Roman" w:eastAsia="Times New Roman"/>
          <w:b w:val="0"/>
          <w:i w:val="0"/>
          <w:sz w:val="22"/>
        </w:rPr>
        <w:t>(4) Họ và tên, năm sinh của người khiếu nại hoặc người đại diện, người được ủy quyền; trường hợp nhiều người cùng khiếu nại về một nội dung thì ghi thông tin người đại diện kèm văn bản cử người đại diện.</w:t>
      </w:r>
    </w:p>
    <w:p>
      <w:pPr>
        <w:spacing w:before="0" w:after="0" w:lineRule="auto" w:line="312"/>
        <w:jc w:val="both"/>
      </w:pPr>
      <w:r>
        <w:rPr>
          <w:rFonts w:ascii="Times New Roman" w:hAnsi="Times New Roman" w:eastAsia="Times New Roman"/>
          <w:b w:val="0"/>
          <w:i w:val="0"/>
          <w:sz w:val="22"/>
        </w:rPr>
        <w:t>(5) Số căn cước hoặc giấy chứng nhận căn cước hoặc số định danh cá nhân hoặc số hộ chiếu, kèm ngày cấp, nơi cấp.</w:t>
      </w:r>
    </w:p>
    <w:p>
      <w:pPr>
        <w:spacing w:before="0" w:after="0" w:lineRule="auto" w:line="312"/>
        <w:jc w:val="both"/>
      </w:pPr>
      <w:r>
        <w:rPr>
          <w:rFonts w:ascii="Times New Roman" w:hAnsi="Times New Roman" w:eastAsia="Times New Roman"/>
          <w:b w:val="0"/>
          <w:i w:val="0"/>
          <w:sz w:val="22"/>
        </w:rPr>
        <w:t>(6) Địa chỉ nơi cư trú và số điện thoại liên hệ của người khiếu nại.</w:t>
      </w:r>
    </w:p>
    <w:p>
      <w:pPr>
        <w:spacing w:before="0" w:after="0" w:lineRule="auto" w:line="312"/>
        <w:jc w:val="both"/>
      </w:pPr>
      <w:r>
        <w:rPr>
          <w:rFonts w:ascii="Times New Roman" w:hAnsi="Times New Roman" w:eastAsia="Times New Roman"/>
          <w:b w:val="0"/>
          <w:i w:val="0"/>
          <w:sz w:val="22"/>
        </w:rPr>
        <w:t>(7) Tư cách tham gia: người khiếu nại, người đại diện theo pháp luật, người được ủy quyền, luật sư hoặc trợ giúp viên pháp lý; nếu là người được ủy quyền thì ghi rõ số, ngày, tháng, năm, nội dung và phạm vi ủy quyền; nếu là luật sư, trợ giúp viên pháp lý thì ghi rõ số thẻ và văn bản phân công, giấy yêu cầu giúp đỡ về pháp luật.</w:t>
      </w:r>
    </w:p>
    <w:p>
      <w:pPr>
        <w:spacing w:before="0" w:after="0" w:lineRule="auto" w:line="312"/>
        <w:jc w:val="both"/>
      </w:pPr>
      <w:r>
        <w:rPr>
          <w:rFonts w:ascii="Times New Roman" w:hAnsi="Times New Roman" w:eastAsia="Times New Roman"/>
          <w:b w:val="0"/>
          <w:i w:val="0"/>
          <w:sz w:val="22"/>
        </w:rPr>
        <w:t>(8) Họ tên, chức vụ, tên cơ quan, tổ chức, đơn vị có liên quan được mời tham dự (nếu có).</w:t>
      </w:r>
    </w:p>
    <w:p>
      <w:pPr>
        <w:spacing w:before="0" w:after="0" w:lineRule="auto" w:line="312"/>
        <w:jc w:val="both"/>
      </w:pPr>
      <w:r>
        <w:rPr>
          <w:rFonts w:ascii="Times New Roman" w:hAnsi="Times New Roman" w:eastAsia="Times New Roman"/>
          <w:b w:val="0"/>
          <w:i w:val="0"/>
          <w:sz w:val="22"/>
        </w:rPr>
        <w:t>(9) Quyết định hành chính hoặc hành vi hành chính bị khiếu nại; ghi rõ số, ngày, tháng, năm, trích yếu và cơ quan, người ban hành (ví dụ: Quyết định số 456/QĐ-UBND ngày 12/3/2026 của Ủy ban nhân dân phường … về bồi thường, hỗ trợ khi thu hồi đất).</w:t>
      </w:r>
    </w:p>
    <w:p>
      <w:pPr>
        <w:spacing w:before="0" w:after="0" w:lineRule="auto" w:line="312"/>
        <w:jc w:val="both"/>
      </w:pPr>
      <w:r>
        <w:rPr>
          <w:rFonts w:ascii="Times New Roman" w:hAnsi="Times New Roman" w:eastAsia="Times New Roman"/>
          <w:b w:val="0"/>
          <w:i w:val="0"/>
          <w:sz w:val="22"/>
        </w:rPr>
        <w:t>(10) Lý do, căn cứ người khiếu nại cho rằng quyết định hành chính, hành vi hành chính là trái pháp luật, xâm phạm quyền, lợi ích hợp pháp của mình.</w:t>
      </w:r>
    </w:p>
    <w:p>
      <w:pPr>
        <w:spacing w:before="0" w:after="0" w:lineRule="auto" w:line="312"/>
        <w:jc w:val="both"/>
      </w:pPr>
      <w:r>
        <w:rPr>
          <w:rFonts w:ascii="Times New Roman" w:hAnsi="Times New Roman" w:eastAsia="Times New Roman"/>
          <w:b w:val="0"/>
          <w:i w:val="0"/>
          <w:sz w:val="22"/>
        </w:rPr>
        <w:t>(11) Yêu cầu cụ thể của người khiếu nại (ví dụ: hủy bỏ một phần Quyết định số 456/QĐ-UBND và phê duyệt lại đơn giá bồi thường).</w:t>
      </w:r>
    </w:p>
    <w:p>
      <w:pPr>
        <w:spacing w:before="0" w:after="0" w:lineRule="auto" w:line="312"/>
        <w:jc w:val="both"/>
      </w:pPr>
      <w:r>
        <w:rPr>
          <w:rFonts w:ascii="Times New Roman" w:hAnsi="Times New Roman" w:eastAsia="Times New Roman"/>
          <w:b w:val="0"/>
          <w:i w:val="0"/>
          <w:sz w:val="22"/>
        </w:rPr>
        <w:t>(12) Ngày người khiếu nại nhận được hoặc biết được quyết định hành chính, hành vi hành chính bị khiếu nại, làm căn cứ xác định thời hiệu khiếu nại 90 ngày theo Điều 9 Luật Khiếu nại.</w:t>
      </w:r>
    </w:p>
    <w:p>
      <w:pPr>
        <w:spacing w:before="0" w:after="0" w:lineRule="auto" w:line="312"/>
        <w:jc w:val="both"/>
      </w:pPr>
      <w:r>
        <w:rPr>
          <w:rFonts w:ascii="Times New Roman" w:hAnsi="Times New Roman" w:eastAsia="Times New Roman"/>
          <w:b w:val="0"/>
          <w:i w:val="0"/>
          <w:sz w:val="22"/>
        </w:rPr>
        <w:t>(13) Ghi nhận việc người khiếu nại có hoặc không thực hiện quyền khởi kiện tại Tòa án đối với quyết định hành chính, hành vi hành chính đang khiếu nại; gạch bỏ phương án không phù hợp.</w:t>
      </w:r>
    </w:p>
    <w:p>
      <w:pPr>
        <w:spacing w:before="0" w:after="0" w:lineRule="auto" w:line="312"/>
        <w:jc w:val="both"/>
      </w:pPr>
      <w:r>
        <w:rPr>
          <w:rFonts w:ascii="Times New Roman" w:hAnsi="Times New Roman" w:eastAsia="Times New Roman"/>
          <w:b w:val="0"/>
          <w:i w:val="0"/>
          <w:sz w:val="22"/>
        </w:rPr>
        <w:t>(14) Các ý kiến khác của người khiếu nại (đề nghị đối thoại, đề nghị tạm đình chỉ thi hành quyết định hành chính bị khiếu nại, đề nghị áp dụng biện pháp bảo vệ và các đề nghị khác).</w:t>
      </w:r>
    </w:p>
    <w:p>
      <w:pPr>
        <w:spacing w:before="0" w:after="0" w:lineRule="auto" w:line="312"/>
        <w:jc w:val="both"/>
      </w:pPr>
      <w:r>
        <w:rPr>
          <w:rFonts w:ascii="Times New Roman" w:hAnsi="Times New Roman" w:eastAsia="Times New Roman"/>
          <w:b w:val="0"/>
          <w:i w:val="0"/>
          <w:sz w:val="22"/>
        </w:rPr>
        <w:t>(15) Liệt kê tên, số trang, tình trạng của từng hồ sơ, tài liệu do người khiếu nại cung cấp; việc tiếp nhận phải lập Giấy biên nhận thông tin, tài liệu.</w:t>
      </w:r>
    </w:p>
    <w:p>
      <w:pPr>
        <w:spacing w:before="0" w:after="0" w:lineRule="auto" w:line="312"/>
        <w:jc w:val="both"/>
      </w:pPr>
      <w:r>
        <w:rPr>
          <w:rFonts w:ascii="Times New Roman" w:hAnsi="Times New Roman" w:eastAsia="Times New Roman"/>
          <w:b w:val="0"/>
          <w:i w:val="0"/>
          <w:sz w:val="22"/>
        </w:rPr>
        <w:t>(16) Ý kiến của Thanh tra Thành phố Hồ Chí Minh về điều kiện thụ lý và hướng xử lý tiếp theo; ghi rõ vụ việc thuộc thẩm quyền giải quyết, sẽ báo cáo người có thẩm quyền thụ lý trong thời hạn 07 ngày làm việc kể từ ngày nhận được khiếu nại theo Điều 27 Luật Khiếu nại.</w:t>
      </w:r>
    </w:p>
    <w:p>
      <w:pPr>
        <w:spacing w:before="0" w:after="0" w:lineRule="auto" w:line="312"/>
        <w:jc w:val="both"/>
      </w:pPr>
      <w:r>
        <w:rPr>
          <w:rFonts w:ascii="Times New Roman" w:hAnsi="Times New Roman" w:eastAsia="Times New Roman"/>
          <w:b w:val="0"/>
          <w:i w:val="0"/>
          <w:sz w:val="22"/>
        </w:rPr>
        <w:t>(17) Trường hợp người khiếu nại không ký, không điểm chỉ thì ghi rõ lý do vào biên bản và có xác nhận của những người cùng tham dự.</w:t>
      </w:r>
    </w:p>
    <w:p>
      <w:pPr>
        <w:spacing w:before="0" w:after="0" w:lineRule="auto" w:line="312"/>
        <w:jc w:val="both"/>
      </w:pPr>
      <w:r>
        <w:rPr>
          <w:rFonts w:ascii="Times New Roman" w:hAnsi="Times New Roman" w:eastAsia="Times New Roman"/>
          <w:b w:val="0"/>
          <w:i w:val="0"/>
          <w:sz w:val="22"/>
        </w:rPr>
        <w:t>* Biên bản này là tài liệu trong hồ sơ giải quyết khiếu nại; nội dung ghi nhận phải phù hợp với đơn khiếu nại và các tài liệu có trong hồ sơ.</w:t>
      </w:r>
    </w:p>
    <w:p>
      <w:pPr>
        <w:spacing w:before="0" w:after="0" w:lineRule="auto" w:line="312"/>
        <w:jc w:val="both"/>
      </w:pPr>
      <w:r>
        <w:rPr>
          <w:rFonts w:ascii="Times New Roman" w:hAnsi="Times New Roman" w:eastAsia="Times New Roman"/>
          <w:b w:val="0"/>
          <w:i w:val="0"/>
          <w:sz w:val="22"/>
        </w:rPr>
        <w:t>* Trường hợp tại buổi làm việc người khiếu nại đề nghị rút một phần hoặc toàn bộ nội dung khiếu nại thì lập biên bản ghi nhận ý kiến rút khiếu nại theo quy định của pháp luật về khiếu nại, không ghi chung vào biên bản này.</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ký hiệu văn bản và tên đại diện cơ quan tham dự cho phù hợp với cơ quan mình.</w:t>
      </w:r>
    </w:p>
    <w:p>
      <w:pPr>
        <w:spacing w:before="0" w:after="0" w:lineRule="auto" w:line="312"/>
        <w:jc w:val="both"/>
      </w:pPr>
      <w:r>
        <w:rPr>
          <w:rFonts w:ascii="Times New Roman" w:hAnsi="Times New Roman" w:eastAsia="Times New Roman"/>
          <w:b w:val="0"/>
          <w:i w:val="0"/>
          <w:sz w:val="22"/>
        </w:rPr>
        <w:t>* Căn cứ pháp lý: Điều 7, Điều 8, Điều 25, Điều 26 Luật Tiếp công dân số 42/2013/QH13 (đã được sửa đổi, bổ sung theo Luật số 136/2025/QH15); Điều 2, Điều 9, Điều 12, Điều 27 Luật Khiếu nại số 02/2011/QH13 (đã được sửa đổi, bổ sung); Điều 12, Điều 13, Điều 14, Điều 15 Nghị định số 154/2026/NĐ-CP ngày 15 tháng 5 năm 2026 của Chính phủ.</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