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……/TB-TTTP-……(1)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THÔNG BÁO</w:t>
      </w:r>
    </w:p>
    <w:p>
      <w:pPr>
        <w:spacing w:before="0" w:after="0" w:lineRule="auto" w:line="312"/>
        <w:jc w:val="center"/>
      </w:pPr>
      <w:r>
        <w:rPr>
          <w:rFonts w:ascii="Times New Roman" w:hAnsi="Times New Roman" w:eastAsia="Times New Roman"/>
          <w:b/>
          <w:i w:val="0"/>
          <w:sz w:val="26"/>
        </w:rPr>
        <w:t>Về việc từ chối tiếp công dân</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Ông (bà)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 ông (bà) ………………(2), số căn cước hoặc giấy chứng nhận căn cước hoặc số định danh cá nhân hoặc số hộ chiếu: ………………(3), ngày cấp: ……/……/………, nơi cấp: ………………; địa chỉ: ………………(4), đến Thanh tra Thành phố Hồ Chí Minh để khiếu nại/tố cáo/kiến nghị/phản ánh về việc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Lý do từ chối tiếp công dân: ………………………………………………(6).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khoản 3 Điều 9 Luật Tiếp công dân và điểm …(7) khoản 1 Điều 4 Nghị định số 154/2026/NĐ-CP ngày 15 tháng 5 năm 2026 của Chính phủ quy định chi tiết một số điều và biện pháp tổ chức thi hành Luật Tiếp công dân, Thanh tra Thành phố Hồ Chí Minh từ chối tiếp nhận nội dung khiếu nại/tố cáo/kiến nghị, phản ánh nêu trên của ông (bà)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Trường hợp có nội dung, tình tiết mới hoặc có căn cứ khác theo quy định của pháp luật, ông (bà) gửi đơn kèm theo thông tin, tài liệu đến cơ quan, tổ chức, đơn vị, người có thẩm quyền để được xem xét, giải quyết.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Hồ Chí Minh thông báo để ông (bà) ………………(2) được biết./.</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Ủy ban nhân dân Thành phố (để báo cáo);</w:t>
            </w:r>
          </w:p>
          <w:p>
            <w:pPr>
              <w:spacing w:before="0" w:after="0" w:lineRule="auto" w:line="276"/>
              <w:jc w:val="left"/>
            </w:pPr>
            <w:r>
              <w:rPr>
                <w:rFonts w:ascii="Times New Roman" w:hAnsi="Times New Roman" w:eastAsia="Times New Roman"/>
                <w:b w:val="0"/>
                <w:i w:val="0"/>
                <w:sz w:val="22"/>
              </w:rPr>
              <w:t>- ……(8) (để phối hợp);</w:t>
            </w:r>
          </w:p>
          <w:p>
            <w:pPr>
              <w:spacing w:before="0" w:after="0" w:lineRule="auto" w:line="276"/>
              <w:jc w:val="left"/>
            </w:pPr>
            <w:r>
              <w:rPr>
                <w:rFonts w:ascii="Times New Roman" w:hAnsi="Times New Roman" w:eastAsia="Times New Roman"/>
                <w:b w:val="0"/>
                <w:i w:val="0"/>
                <w:sz w:val="22"/>
              </w:rPr>
              <w:t>- Lưu: VT, hồ sơ, ……(9).</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tham mưu soạn thảo văn bản (ví dụ: Số: 125/TB-TTTP-P1).</w:t>
      </w:r>
    </w:p>
    <w:p>
      <w:pPr>
        <w:spacing w:before="0" w:after="0" w:lineRule="auto" w:line="312"/>
        <w:jc w:val="both"/>
      </w:pPr>
      <w:r>
        <w:rPr>
          <w:rFonts w:ascii="Times New Roman" w:hAnsi="Times New Roman" w:eastAsia="Times New Roman"/>
          <w:b w:val="0"/>
          <w:i w:val="0"/>
          <w:sz w:val="22"/>
        </w:rPr>
        <w:t>(2) Họ và tên người khiếu nại, người tố cáo, người kiến nghị, phản ánh; nếu là người đại diện, người được ủy quyền thì ghi rõ tư cách tham gia (ví dụ: Ông Nguyễn Văn A, người được ủy quyền của bà Trần Thị B).</w:t>
      </w:r>
    </w:p>
    <w:p>
      <w:pPr>
        <w:spacing w:before="0" w:after="0" w:lineRule="auto" w:line="312"/>
        <w:jc w:val="both"/>
      </w:pPr>
      <w:r>
        <w:rPr>
          <w:rFonts w:ascii="Times New Roman" w:hAnsi="Times New Roman" w:eastAsia="Times New Roman"/>
          <w:b w:val="0"/>
          <w:i w:val="0"/>
          <w:sz w:val="22"/>
        </w:rPr>
        <w:t>(3) Số căn cước hoặc giấy chứng nhận căn cước hoặc số định danh cá nhân hoặc số hộ chiếu của công dân; ghi kèm ngày cấp, nơi cấp (ví dụ: 079xxxxxxxxx, ngày cấp 10/3/2024, nơi cấp Cục Cảnh sát quản lý hành chính về trật tự xã hội).</w:t>
      </w:r>
    </w:p>
    <w:p>
      <w:pPr>
        <w:spacing w:before="0" w:after="0" w:lineRule="auto" w:line="312"/>
        <w:jc w:val="both"/>
      </w:pPr>
      <w:r>
        <w:rPr>
          <w:rFonts w:ascii="Times New Roman" w:hAnsi="Times New Roman" w:eastAsia="Times New Roman"/>
          <w:b w:val="0"/>
          <w:i w:val="0"/>
          <w:sz w:val="22"/>
        </w:rPr>
        <w:t>(4) Địa chỉ nơi cư trú của công dân theo giấy tờ tùy thân hoặc theo đơn (ví dụ: 123 đường Cách Mạng Tháng Tám, phường Bàn Cờ, Thành phố Hồ Chí Minh).</w:t>
      </w:r>
    </w:p>
    <w:p>
      <w:pPr>
        <w:spacing w:before="0" w:after="0" w:lineRule="auto" w:line="312"/>
        <w:jc w:val="both"/>
      </w:pPr>
      <w:r>
        <w:rPr>
          <w:rFonts w:ascii="Times New Roman" w:hAnsi="Times New Roman" w:eastAsia="Times New Roman"/>
          <w:b w:val="0"/>
          <w:i w:val="0"/>
          <w:sz w:val="22"/>
        </w:rPr>
        <w:t>(5) Tóm tắt nội dung khiếu nại, tố cáo, kiến nghị, phản ánh mà công dân trình bày (ví dụ: kiến nghị xem xét lại phương án bồi thường khi thu hồi đất tại dự án X).</w:t>
      </w:r>
    </w:p>
    <w:p>
      <w:pPr>
        <w:spacing w:before="0" w:after="0" w:lineRule="auto" w:line="312"/>
        <w:jc w:val="both"/>
      </w:pPr>
      <w:r>
        <w:rPr>
          <w:rFonts w:ascii="Times New Roman" w:hAnsi="Times New Roman" w:eastAsia="Times New Roman"/>
          <w:b w:val="0"/>
          <w:i w:val="0"/>
          <w:sz w:val="22"/>
        </w:rPr>
        <w:t>(6) Lý do từ chối; nêu rõ vụ việc đã được giải quyết đúng chính sách, pháp luật, đã được rà soát, thông báo, trả lời bằng văn bản mà công dân vẫn khiếu nại, tố cáo kéo dài (khoản 3 Điều 9 Luật Tiếp công dân) hoặc kiến nghị, phản ánh đã được tiếp, hướng dẫn, trả lời bằng văn bản đúng quy định và không có nội dung, tình tiết mới (điểm h khoản 1 Điều 4 Nghị định số 154/2026/NĐ-CP); ghi rõ số, ngày, tháng, năm và tên văn bản đã trả lời trước đó.</w:t>
      </w:r>
    </w:p>
    <w:p>
      <w:pPr>
        <w:spacing w:before="0" w:after="0" w:lineRule="auto" w:line="312"/>
        <w:jc w:val="both"/>
      </w:pPr>
      <w:r>
        <w:rPr>
          <w:rFonts w:ascii="Times New Roman" w:hAnsi="Times New Roman" w:eastAsia="Times New Roman"/>
          <w:b w:val="0"/>
          <w:i w:val="0"/>
          <w:sz w:val="22"/>
        </w:rPr>
        <w:t>(7) Ghi điểm tương ứng của khoản 1 Điều 4 Nghị định số 154/2026/NĐ-CP làm căn cứ từ chối; theo khoản 3 Điều 4 Nghị định số 154/2026/NĐ-CP, Thông báo từ chối tiếp công dân chỉ ban hành đối với trường hợp quy định tại khoản 3 Điều 9 Luật Tiếp công dân và điểm h khoản 1 Điều 4 Nghị định số 154/2026/NĐ-CP; các trường hợp còn lại người tiếp công dân trực tiếp giải thích cho công dân biết lý do từ chối.</w:t>
      </w:r>
    </w:p>
    <w:p>
      <w:pPr>
        <w:spacing w:before="0" w:after="0" w:lineRule="auto" w:line="312"/>
        <w:jc w:val="both"/>
      </w:pPr>
      <w:r>
        <w:rPr>
          <w:rFonts w:ascii="Times New Roman" w:hAnsi="Times New Roman" w:eastAsia="Times New Roman"/>
          <w:b w:val="0"/>
          <w:i w:val="0"/>
          <w:sz w:val="22"/>
        </w:rPr>
        <w:t>(8) Tên cơ quan, tổ chức, đơn vị, cá nhân có liên quan đến vụ việc cần gửi để phối hợp theo dõi (ví dụ: Ban Tiếp công dân Thành phố; Ủy ban nhân dân phường …).</w:t>
      </w:r>
    </w:p>
    <w:p>
      <w:pPr>
        <w:spacing w:before="0" w:after="0" w:lineRule="auto" w:line="312"/>
        <w:jc w:val="both"/>
      </w:pPr>
      <w:r>
        <w:rPr>
          <w:rFonts w:ascii="Times New Roman" w:hAnsi="Times New Roman" w:eastAsia="Times New Roman"/>
          <w:b w:val="0"/>
          <w:i w:val="0"/>
          <w:sz w:val="22"/>
        </w:rPr>
        <w:t>(9) Chữ viết tắt tên phòng, đơn vị soạn thảo và số lượng bản lưu.</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(dòng cơ quan chủ quản, dòng tên cơ quan ban hành), ký hiệu văn bản và chức danh người ký cho phù hợp với cơ quan mình.</w:t>
      </w:r>
    </w:p>
    <w:p>
      <w:pPr>
        <w:spacing w:before="0" w:after="0" w:lineRule="auto" w:line="312"/>
        <w:jc w:val="both"/>
      </w:pPr>
      <w:r>
        <w:rPr>
          <w:rFonts w:ascii="Times New Roman" w:hAnsi="Times New Roman" w:eastAsia="Times New Roman"/>
          <w:b w:val="0"/>
          <w:i w:val="0"/>
          <w:sz w:val="22"/>
        </w:rPr>
        <w:t>* Căn cứ pháp lý: khoản 3 Điều 9 Luật Tiếp công dân số 42/2013/QH13 (đã được sửa đổi, bổ sung theo Luật số 136/2025/QH15); Điều 4 và Mẫu số 01/TCD ban hành kèm theo Nghị định số 154/2026/NĐ-CP ngày 15 tháng 5 năm 2026 của Chính phủ; Nghị định số 30/2020/NĐ-CP ngày 05 tháng 3 năm 2020 của Chính phủ về công tác văn thư.</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