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……/KL-TTTP-……(1)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KẾT LUẬN NỘI DUNG TỐ CÁO</w:t>
      </w:r>
    </w:p>
    <w:p>
      <w:pPr>
        <w:spacing w:before="0" w:after="0" w:lineRule="auto" w:line="312"/>
        <w:jc w:val="center"/>
      </w:pPr>
      <w:r>
        <w:rPr>
          <w:rFonts w:ascii="Times New Roman" w:hAnsi="Times New Roman" w:eastAsia="Times New Roman"/>
          <w:b/>
          <w:i w:val="0"/>
          <w:sz w:val="26"/>
        </w:rPr>
        <w:t>Đối với ………………………………(2)</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 ………………(3) đã ban hành Quyết định số ………………(4) thụ lý tố cáo đối với ………………(2) về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Việc xác minh nội dung tố cáo được thực hiện theo ………………(6); kết quả xác minh đã được báo cáo tại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nội dung tố cáo, giải trình của người bị tố cáo, kết quả xác minh nội dung tố cáo, các thông tin, tài liệu, bằng chứng có liên quan và đối chiếu với quy định của pháp luật, ………………(3) kết luận nội dung tố cáo như sau: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Kết quả xác minh nội dung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Căn cứ pháp luật để xác định có hay không có hành vi vi phạm pháp luật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Kết luận về nội dung tố cáo và trách nhiệm của cơ quan, tổ chức, cá nhân liên quan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4. Các biện pháp xử lý theo thẩm quyền cần thực hiện và kiến nghị cơ quan, tổ chức, cá nhân khác áp dụng biện pháp xử lý theo thẩm quyền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………………………………………………………………………………(11)</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5. Kiến nghị sửa đổi, bổ sung chính sách, pháp luật và các biện pháp cần thiết để bảo vệ lợi ích của Nhà nước, quyền và lợi ích hợp pháp của cơ quan, tổ chức, cá nhân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6. Kết luận về việc giải quyết tố cáo trước đó (đối với trường hợp giải quyết lại vụ việc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Kết luận này được công khai theo quy định tại Điều 40 Luật Tố cáo và Điều 6 Nghị định số 31/2019/NĐ-CP./.</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……(14);</w:t>
            </w:r>
          </w:p>
          <w:p>
            <w:pPr>
              <w:spacing w:before="0" w:after="0" w:lineRule="auto" w:line="276"/>
              <w:jc w:val="left"/>
            </w:pPr>
            <w:r>
              <w:rPr>
                <w:rFonts w:ascii="Times New Roman" w:hAnsi="Times New Roman" w:eastAsia="Times New Roman"/>
                <w:b w:val="0"/>
                <w:i w:val="0"/>
                <w:sz w:val="22"/>
              </w:rPr>
              <w:t>- ……(15);</w:t>
            </w:r>
          </w:p>
          <w:p>
            <w:pPr>
              <w:spacing w:before="0" w:after="0" w:lineRule="auto" w:line="276"/>
              <w:jc w:val="left"/>
            </w:pPr>
            <w:r>
              <w:rPr>
                <w:rFonts w:ascii="Times New Roman" w:hAnsi="Times New Roman" w:eastAsia="Times New Roman"/>
                <w:b w:val="0"/>
                <w:i w:val="0"/>
                <w:sz w:val="22"/>
              </w:rPr>
              <w:t>- ……(16);</w:t>
            </w:r>
          </w:p>
          <w:p>
            <w:pPr>
              <w:spacing w:before="0" w:after="0" w:lineRule="auto" w:line="276"/>
              <w:jc w:val="left"/>
            </w:pPr>
            <w:r>
              <w:rPr>
                <w:rFonts w:ascii="Times New Roman" w:hAnsi="Times New Roman" w:eastAsia="Times New Roman"/>
                <w:b w:val="0"/>
                <w:i w:val="0"/>
                <w:sz w:val="22"/>
              </w:rPr>
              <w:t>- ……(17);</w:t>
            </w:r>
          </w:p>
          <w:p>
            <w:pPr>
              <w:spacing w:before="0" w:after="0" w:lineRule="auto" w:line="276"/>
              <w:jc w:val="left"/>
            </w:pPr>
            <w:r>
              <w:rPr>
                <w:rFonts w:ascii="Times New Roman" w:hAnsi="Times New Roman" w:eastAsia="Times New Roman"/>
                <w:b w:val="0"/>
                <w:i w:val="0"/>
                <w:sz w:val="22"/>
              </w:rPr>
              <w:t>- ……(18);</w:t>
            </w:r>
          </w:p>
          <w:p>
            <w:pPr>
              <w:spacing w:before="0" w:after="0" w:lineRule="auto" w:line="276"/>
              <w:jc w:val="left"/>
            </w:pPr>
            <w:r>
              <w:rPr>
                <w:rFonts w:ascii="Times New Roman" w:hAnsi="Times New Roman" w:eastAsia="Times New Roman"/>
                <w:b w:val="0"/>
                <w:i w:val="0"/>
                <w:sz w:val="22"/>
              </w:rPr>
              <w:t>- Lưu: VT, hồ sơ, ……(19).</w:t>
            </w:r>
          </w:p>
        </w:tc>
        <w:tc>
          <w:tcPr>
            <w:tcW w:type="dxa" w:w="4819"/>
          </w:tcPr>
          <w:p>
            <w:pPr>
              <w:spacing w:before="0" w:after="0" w:lineRule="auto" w:line="276"/>
              <w:jc w:val="center"/>
            </w:pPr>
            <w:r>
              <w:rPr>
                <w:rFonts w:ascii="Times New Roman" w:hAnsi="Times New Roman" w:eastAsia="Times New Roman"/>
                <w:b/>
                <w:i w:val="0"/>
                <w:sz w:val="26"/>
              </w:rPr>
              <w:t>………………………(20)</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kết luận. Ví dụ: "Số: 15/KL-TTTP-P1".</w:t>
      </w:r>
    </w:p>
    <w:p>
      <w:pPr>
        <w:spacing w:before="0" w:after="0" w:lineRule="auto" w:line="312"/>
        <w:jc w:val="both"/>
      </w:pPr>
      <w:r>
        <w:rPr>
          <w:rFonts w:ascii="Times New Roman" w:hAnsi="Times New Roman" w:eastAsia="Times New Roman"/>
          <w:b w:val="0"/>
          <w:i w:val="0"/>
          <w:sz w:val="22"/>
        </w:rPr>
        <w:t>(2) Tên cơ quan, tổ chức bị tố cáo hoặc họ tên, chức vụ, chức danh, đơn vị công tác, địa chỉ của cá nhân bị tố cáo; chỉ số này xuất hiện ở trích yếu và trong phần mở đầu, phải ghi thống nhất. Ví dụ: "ông Nguyễn Văn A, Chủ tịch Ủy ban nhân dân Phường Xuân Hòa".</w:t>
      </w:r>
    </w:p>
    <w:p>
      <w:pPr>
        <w:spacing w:before="0" w:after="0" w:lineRule="auto" w:line="312"/>
        <w:jc w:val="both"/>
      </w:pPr>
      <w:r>
        <w:rPr>
          <w:rFonts w:ascii="Times New Roman" w:hAnsi="Times New Roman" w:eastAsia="Times New Roman"/>
          <w:b w:val="0"/>
          <w:i w:val="0"/>
          <w:sz w:val="22"/>
        </w:rPr>
        <w:t>(3) Chức danh người giải quyết tố cáo ban hành kết luận; chỉ số này xuất hiện hai lần, phải ghi thống nhất. Ví dụ: "Chánh Thanh tra Thành phố Hồ Chí Minh"; trường hợp người giải quyết tố cáo là Chủ tịch Ủy ban nhân dân Thành phố thì ghi "Chủ tịch Ủy ban nhân dân Thành phố Hồ Chí Minh" và sửa lại thể thức cơ quan ban hành, ký hiệu văn bản cho phù hợp.</w:t>
      </w:r>
    </w:p>
    <w:p>
      <w:pPr>
        <w:spacing w:before="0" w:after="0" w:lineRule="auto" w:line="312"/>
        <w:jc w:val="both"/>
      </w:pPr>
      <w:r>
        <w:rPr>
          <w:rFonts w:ascii="Times New Roman" w:hAnsi="Times New Roman" w:eastAsia="Times New Roman"/>
          <w:b w:val="0"/>
          <w:i w:val="0"/>
          <w:sz w:val="22"/>
        </w:rPr>
        <w:t>(4) Số, ký hiệu quyết định thụ lý tố cáo. Ví dụ: "65/QĐ-TTTP".</w:t>
      </w:r>
    </w:p>
    <w:p>
      <w:pPr>
        <w:spacing w:before="0" w:after="0" w:lineRule="auto" w:line="312"/>
        <w:jc w:val="both"/>
      </w:pPr>
      <w:r>
        <w:rPr>
          <w:rFonts w:ascii="Times New Roman" w:hAnsi="Times New Roman" w:eastAsia="Times New Roman"/>
          <w:b w:val="0"/>
          <w:i w:val="0"/>
          <w:sz w:val="22"/>
        </w:rPr>
        <w:t>(5) Tóm tắt hành vi vi phạm pháp luật bị tố cáo, ghi theo đúng phạm vi nội dung đã thụ lý; không ghi họ tên, địa chỉ, bút tích của người tố cáo. Ví dụ: "hành vi vi phạm pháp luật trong việc cấp giấy chứng nhận quyền sử dụng đất năm 2025".</w:t>
      </w:r>
    </w:p>
    <w:p>
      <w:pPr>
        <w:spacing w:before="0" w:after="0" w:lineRule="auto" w:line="312"/>
        <w:jc w:val="both"/>
      </w:pPr>
      <w:r>
        <w:rPr>
          <w:rFonts w:ascii="Times New Roman" w:hAnsi="Times New Roman" w:eastAsia="Times New Roman"/>
          <w:b w:val="0"/>
          <w:i w:val="0"/>
          <w:sz w:val="22"/>
        </w:rPr>
        <w:t>(6) Văn bản làm căn cứ tiến hành xác minh: quyết định thành lập Đoàn (Tổ) xác minh nội dung tố cáo hoặc văn bản giao xác minh nội dung tố cáo, ghi rõ số, ký hiệu, ngày tháng năm và người ký; trường hợp người giải quyết tố cáo tự mình xác minh thì ghi "người giải quyết tố cáo trực tiếp tiến hành xác minh". Ví dụ: "Quyết định số 72/QĐ-TTTP ngày 12/8/2026 của Chánh Thanh tra Thành phố Hồ Chí Minh".</w:t>
      </w:r>
    </w:p>
    <w:p>
      <w:pPr>
        <w:spacing w:before="0" w:after="0" w:lineRule="auto" w:line="312"/>
        <w:jc w:val="both"/>
      </w:pPr>
      <w:r>
        <w:rPr>
          <w:rFonts w:ascii="Times New Roman" w:hAnsi="Times New Roman" w:eastAsia="Times New Roman"/>
          <w:b w:val="0"/>
          <w:i w:val="0"/>
          <w:sz w:val="22"/>
        </w:rPr>
        <w:t>(7) Số, ký hiệu, ngày tháng năm của báo cáo kết quả xác minh nội dung tố cáo. Ví dụ: "Báo cáo số 145/BC-TTTP ngày 02/9/2026 của Thanh tra Thành phố Hồ Chí Minh".</w:t>
      </w:r>
    </w:p>
    <w:p>
      <w:pPr>
        <w:spacing w:before="0" w:after="0" w:lineRule="auto" w:line="312"/>
        <w:jc w:val="both"/>
      </w:pPr>
      <w:r>
        <w:rPr>
          <w:rFonts w:ascii="Times New Roman" w:hAnsi="Times New Roman" w:eastAsia="Times New Roman"/>
          <w:b w:val="0"/>
          <w:i w:val="0"/>
          <w:sz w:val="22"/>
        </w:rPr>
        <w:t>(8) Kết quả xác minh theo từng nội dung tố cáo và nội dung giải trình của người bị tố cáo; nêu rõ thông tin, tài liệu, bằng chứng đã thu thập, kết luận giám định (nếu có) và diễn biến sự việc được xác định. Trình bày theo thứ tự từng nội dung tố cáo đã thụ lý, không bỏ sót nội dung nào.</w:t>
      </w:r>
    </w:p>
    <w:p>
      <w:pPr>
        <w:spacing w:before="0" w:after="0" w:lineRule="auto" w:line="312"/>
        <w:jc w:val="both"/>
      </w:pPr>
      <w:r>
        <w:rPr>
          <w:rFonts w:ascii="Times New Roman" w:hAnsi="Times New Roman" w:eastAsia="Times New Roman"/>
          <w:b w:val="0"/>
          <w:i w:val="0"/>
          <w:sz w:val="22"/>
        </w:rPr>
        <w:t>(9) Nêu rõ căn cứ pháp luật để xác định có hay không có hành vi vi phạm pháp luật, viện dẫn chính xác đến điều, khoản, điểm của văn bản quy phạm pháp luật có hiệu lực tại thời điểm xảy ra hành vi bị tố cáo. Ví dụ: "khoản 3 Điều 18 Luật Đất đai năm 2024".</w:t>
      </w:r>
    </w:p>
    <w:p>
      <w:pPr>
        <w:spacing w:before="0" w:after="0" w:lineRule="auto" w:line="312"/>
        <w:jc w:val="both"/>
      </w:pPr>
      <w:r>
        <w:rPr>
          <w:rFonts w:ascii="Times New Roman" w:hAnsi="Times New Roman" w:eastAsia="Times New Roman"/>
          <w:b w:val="0"/>
          <w:i w:val="0"/>
          <w:sz w:val="22"/>
        </w:rPr>
        <w:t>(10) Kết luận từng nội dung tố cáo là tố cáo đúng, đúng một phần hoặc tố cáo sai sự thật; việc cố ý tố cáo sai sự thật (nếu có); kết luận về hành vi vi phạm pháp luật của người bị tố cáo và của cơ quan, tổ chức, cá nhân khác (nếu có); nguyên nhân của hành vi vi phạm; xác định trách nhiệm của từng cơ quan, tổ chức, cá nhân liên quan đến nội dung tố cáo; thiệt hại về vật chất, tinh thần do hành vi vi phạm pháp luật gây ra và đối tượng bị thiệt hại. Ví dụ: "Nội dung tố cáo thứ nhất là tố cáo đúng; nội dung tố cáo thứ hai là tố cáo sai sự thật".</w:t>
      </w:r>
    </w:p>
    <w:p>
      <w:pPr>
        <w:spacing w:before="0" w:after="0" w:lineRule="auto" w:line="312"/>
        <w:jc w:val="both"/>
      </w:pPr>
      <w:r>
        <w:rPr>
          <w:rFonts w:ascii="Times New Roman" w:hAnsi="Times New Roman" w:eastAsia="Times New Roman"/>
          <w:b w:val="0"/>
          <w:i w:val="0"/>
          <w:sz w:val="22"/>
        </w:rPr>
        <w:t>(11) Các biện pháp xử lý thuộc thẩm quyền của người giải quyết tố cáo cần thực hiện; kiến nghị cơ quan, tổ chức, cá nhân khác áp dụng biện pháp xử lý theo thẩm quyền đối với cơ quan, tổ chức, cá nhân có vi phạm pháp luật; trường hợp kết luận người bị tố cáo không vi phạm pháp luật thì nêu biện pháp khôi phục quyền, lợi ích hợp pháp của người bị tố cáo bị xâm phạm và việc xử lý người cố ý tố cáo sai sự thật; trường hợp hành vi vi phạm có dấu hiệu của tội phạm thì nêu rõ việc chuyển ngay hồ sơ vụ việc đến Cơ quan điều tra hoặc Viện kiểm sát nhân dân có thẩm quyền. Ghi rõ thời hạn thực hiện và cơ quan, tổ chức, cá nhân chịu trách nhiệm thực hiện.</w:t>
      </w:r>
    </w:p>
    <w:p>
      <w:pPr>
        <w:spacing w:before="0" w:after="0" w:lineRule="auto" w:line="312"/>
        <w:jc w:val="both"/>
      </w:pPr>
      <w:r>
        <w:rPr>
          <w:rFonts w:ascii="Times New Roman" w:hAnsi="Times New Roman" w:eastAsia="Times New Roman"/>
          <w:b w:val="0"/>
          <w:i w:val="0"/>
          <w:sz w:val="22"/>
        </w:rPr>
        <w:t>(12) Kiến nghị cơ quan có thẩm quyền xem xét sửa đổi, bổ sung chính sách, pháp luật và áp dụng các biện pháp cần thiết để bảo vệ lợi ích của Nhà nước, quyền và lợi ích hợp pháp của cơ quan, tổ chức, cá nhân; trường hợp không có kiến nghị thì ghi "không có".</w:t>
      </w:r>
    </w:p>
    <w:p>
      <w:pPr>
        <w:spacing w:before="0" w:after="0" w:lineRule="auto" w:line="312"/>
        <w:jc w:val="both"/>
      </w:pPr>
      <w:r>
        <w:rPr>
          <w:rFonts w:ascii="Times New Roman" w:hAnsi="Times New Roman" w:eastAsia="Times New Roman"/>
          <w:b w:val="0"/>
          <w:i w:val="0"/>
          <w:sz w:val="22"/>
        </w:rPr>
        <w:t>(13) Chỉ ghi khi giải quyết lại vụ việc tố cáo: kết luận về những nội dung vi phạm pháp luật, sai lầm hoặc không phù hợp của việc giải quyết tố cáo trước đó và việc xử lý theo thẩm quyền hoặc kiến nghị xử lý đối với cơ quan, tổ chức, đơn vị, cá nhân có hành vi vi phạm pháp luật trong quá trình giải quyết tố cáo trước đó; trường hợp không phải giải quyết lại thì bỏ hẳn mục này.</w:t>
      </w:r>
    </w:p>
    <w:p>
      <w:pPr>
        <w:spacing w:before="0" w:after="0" w:lineRule="auto" w:line="312"/>
        <w:jc w:val="both"/>
      </w:pPr>
      <w:r>
        <w:rPr>
          <w:rFonts w:ascii="Times New Roman" w:hAnsi="Times New Roman" w:eastAsia="Times New Roman"/>
          <w:b w:val="0"/>
          <w:i w:val="0"/>
          <w:sz w:val="22"/>
        </w:rPr>
        <w:t>(14) Người bị tố cáo. Trường hợp kết luận có thông tin thuộc bí mật nhà nước hoặc thông tin có hại cho người tố cáo thì phải trích văn bản, lược bỏ thông tin đó trước khi gửi cho người bị tố cáo.</w:t>
      </w:r>
    </w:p>
    <w:p>
      <w:pPr>
        <w:spacing w:before="0" w:after="0" w:lineRule="auto" w:line="312"/>
        <w:jc w:val="both"/>
      </w:pPr>
      <w:r>
        <w:rPr>
          <w:rFonts w:ascii="Times New Roman" w:hAnsi="Times New Roman" w:eastAsia="Times New Roman"/>
          <w:b w:val="0"/>
          <w:i w:val="0"/>
          <w:sz w:val="22"/>
        </w:rPr>
        <w:t>(15) Cơ quan, tổ chức, đơn vị quản lý người bị tố cáo. Ví dụ: "Ủy ban nhân dân Phường Xuân Hòa".</w:t>
      </w:r>
    </w:p>
    <w:p>
      <w:pPr>
        <w:spacing w:before="0" w:after="0" w:lineRule="auto" w:line="312"/>
        <w:jc w:val="both"/>
      </w:pPr>
      <w:r>
        <w:rPr>
          <w:rFonts w:ascii="Times New Roman" w:hAnsi="Times New Roman" w:eastAsia="Times New Roman"/>
          <w:b w:val="0"/>
          <w:i w:val="0"/>
          <w:sz w:val="22"/>
        </w:rPr>
        <w:t>(16) Cơ quan, tổ chức, cá nhân có thẩm quyền được kiến nghị áp dụng biện pháp xử lý nêu tại mục 4 của kết luận. Ví dụ: "Sở Nông nghiệp và Môi trường Thành phố Hồ Chí Minh (để thực hiện kiến nghị)".</w:t>
      </w:r>
    </w:p>
    <w:p>
      <w:pPr>
        <w:spacing w:before="0" w:after="0" w:lineRule="auto" w:line="312"/>
        <w:jc w:val="both"/>
      </w:pPr>
      <w:r>
        <w:rPr>
          <w:rFonts w:ascii="Times New Roman" w:hAnsi="Times New Roman" w:eastAsia="Times New Roman"/>
          <w:b w:val="0"/>
          <w:i w:val="0"/>
          <w:sz w:val="22"/>
        </w:rPr>
        <w:t>(17) Cơ quan cấp trên, cơ quan thanh tra có liên quan cần gửi để báo cáo, theo dõi. Ví dụ: "Chủ tịch Ủy ban nhân dân Thành phố Hồ Chí Minh (để báo cáo)"; "Thanh tra Chính phủ (để báo cáo)".</w:t>
      </w:r>
    </w:p>
    <w:p>
      <w:pPr>
        <w:spacing w:before="0" w:after="0" w:lineRule="auto" w:line="312"/>
        <w:jc w:val="both"/>
      </w:pPr>
      <w:r>
        <w:rPr>
          <w:rFonts w:ascii="Times New Roman" w:hAnsi="Times New Roman" w:eastAsia="Times New Roman"/>
          <w:b w:val="0"/>
          <w:i w:val="0"/>
          <w:sz w:val="22"/>
        </w:rPr>
        <w:t>(18) Cơ quan, tổ chức, cá nhân khác có liên quan được nhận kết luận; đơn vị được giao theo dõi, đôn đốc việc thực hiện kết luận. Ví dụ: "Phòng Nghiệp vụ 1 (để theo dõi, đôn đốc)". Không ghi người tố cáo tại nơi nhận; người tố cáo chỉ được thông báo về kết luận nội dung tố cáo bằng văn bản riêng.</w:t>
      </w:r>
    </w:p>
    <w:p>
      <w:pPr>
        <w:spacing w:before="0" w:after="0" w:lineRule="auto" w:line="312"/>
        <w:jc w:val="both"/>
      </w:pPr>
      <w:r>
        <w:rPr>
          <w:rFonts w:ascii="Times New Roman" w:hAnsi="Times New Roman" w:eastAsia="Times New Roman"/>
          <w:b w:val="0"/>
          <w:i w:val="0"/>
          <w:sz w:val="22"/>
        </w:rPr>
        <w:t>(19) Chữ viết tắt tên phòng, đơn vị soạn thảo, tên viết tắt của người soạn thảo và số lượng bản phát hành. Ví dụ: "P1/TVB.10b".</w:t>
      </w:r>
    </w:p>
    <w:p>
      <w:pPr>
        <w:spacing w:before="0" w:after="0" w:lineRule="auto" w:line="312"/>
        <w:jc w:val="both"/>
      </w:pPr>
      <w:r>
        <w:rPr>
          <w:rFonts w:ascii="Times New Roman" w:hAnsi="Times New Roman" w:eastAsia="Times New Roman"/>
          <w:b w:val="0"/>
          <w:i w:val="0"/>
          <w:sz w:val="22"/>
        </w:rPr>
        <w:t>(20) Chức danh người ký kết luận, ghi thống nhất với chỉ số (3). Ví dụ: "CHÁNH THANH TRA".</w:t>
      </w:r>
    </w:p>
    <w:p>
      <w:pPr>
        <w:spacing w:before="0" w:after="0" w:lineRule="auto" w:line="312"/>
        <w:jc w:val="both"/>
      </w:pPr>
      <w:r>
        <w:rPr>
          <w:rFonts w:ascii="Times New Roman" w:hAnsi="Times New Roman" w:eastAsia="Times New Roman"/>
          <w:b w:val="0"/>
          <w:i w:val="0"/>
          <w:sz w:val="22"/>
        </w:rPr>
        <w:t>* Kết luận nội dung tố cáo phải có đủ năm nhóm nội dung chính quy định tại khoản 2 Điều 35 Luật Tố cáo: kết quả xác minh nội dung tố cáo; căn cứ pháp luật để xác định có hay không có hành vi vi phạm pháp luật; kết luận về nội dung tố cáo là đúng, đúng một phần hoặc tố cáo sai sự thật và xác định trách nhiệm của từng cơ quan, tổ chức, cá nhân liên quan; các biện pháp xử lý theo thẩm quyền và kiến nghị cơ quan, tổ chức, cá nhân khác xử lý; kiến nghị sửa đổi, bổ sung chính sách, pháp luật. Không được lược bỏ bất kỳ nhóm nội dung nào.</w:t>
      </w:r>
    </w:p>
    <w:p>
      <w:pPr>
        <w:spacing w:before="0" w:after="0" w:lineRule="auto" w:line="312"/>
        <w:jc w:val="both"/>
      </w:pPr>
      <w:r>
        <w:rPr>
          <w:rFonts w:ascii="Times New Roman" w:hAnsi="Times New Roman" w:eastAsia="Times New Roman"/>
          <w:b w:val="0"/>
          <w:i w:val="0"/>
          <w:sz w:val="22"/>
        </w:rPr>
        <w:t>* Kết luận phải được ban hành trong thời hạn giải quyết tố cáo là không quá 30 ngày kể từ ngày thụ lý; vụ việc phức tạp được gia hạn một lần không quá 30 ngày, vụ việc đặc biệt phức tạp được gia hạn hai lần, mỗi lần không quá 30 ngày theo Điều 30 Luật Tố cáo; thời gian giám định không tính vào thời hạn giải quyết tố cáo.</w:t>
      </w:r>
    </w:p>
    <w:p>
      <w:pPr>
        <w:spacing w:before="0" w:after="0" w:lineRule="auto" w:line="312"/>
        <w:jc w:val="both"/>
      </w:pPr>
      <w:r>
        <w:rPr>
          <w:rFonts w:ascii="Times New Roman" w:hAnsi="Times New Roman" w:eastAsia="Times New Roman"/>
          <w:b w:val="0"/>
          <w:i w:val="0"/>
          <w:sz w:val="22"/>
        </w:rPr>
        <w:t>* Chậm nhất là 05 ngày làm việc kể từ ngày ban hành kết luận, người giải quyết tố cáo gửi kết luận đến người bị tố cáo, cơ quan, tổ chức quản lý người bị tố cáo và cơ quan, tổ chức, cá nhân có liên quan; đồng thời thông báo về kết luận nội dung tố cáo đến người tố cáo theo khoản 3 Điều 35 Luật Tố cáo.</w:t>
      </w:r>
    </w:p>
    <w:p>
      <w:pPr>
        <w:spacing w:before="0" w:after="0" w:lineRule="auto" w:line="312"/>
        <w:jc w:val="both"/>
      </w:pPr>
      <w:r>
        <w:rPr>
          <w:rFonts w:ascii="Times New Roman" w:hAnsi="Times New Roman" w:eastAsia="Times New Roman"/>
          <w:b w:val="0"/>
          <w:i w:val="0"/>
          <w:sz w:val="22"/>
        </w:rPr>
        <w:t>* Chậm nhất là 07 ngày làm việc kể từ ngày ban hành kết luận, người giải quyết tố cáo phải tiến hành việc xử lý kết luận nội dung tố cáo theo khoản 1 Điều 36 Luật Tố cáo; trường hợp hành vi vi phạm có dấu hiệu của tội phạm thì chuyển ngay hồ sơ vụ việc đến Cơ quan điều tra hoặc Viện kiểm sát nhân dân có thẩm quyền.</w:t>
      </w:r>
    </w:p>
    <w:p>
      <w:pPr>
        <w:spacing w:before="0" w:after="0" w:lineRule="auto" w:line="312"/>
        <w:jc w:val="both"/>
      </w:pPr>
      <w:r>
        <w:rPr>
          <w:rFonts w:ascii="Times New Roman" w:hAnsi="Times New Roman" w:eastAsia="Times New Roman"/>
          <w:b w:val="0"/>
          <w:i w:val="0"/>
          <w:sz w:val="22"/>
        </w:rPr>
        <w:t>* Trong thời hạn 07 ngày làm việc kể từ ngày ra kết luận, người giải quyết tố cáo có trách nhiệm công khai kết luận nội dung tố cáo theo khoản 1 Điều 40 Luật Tố cáo bằng một hoặc một số hình thức: công bố tại cuộc họp cơ quan, tổ chức nơi người bị tố cáo công tác; niêm yết tại trụ sở làm việc hoặc nơi tiếp công dân; đăng tải trên cổng thông tin điện tử hoặc mạng thông tin nội bộ; thông báo trên phương tiện thông tin đại chúng.</w:t>
      </w:r>
    </w:p>
    <w:p>
      <w:pPr>
        <w:spacing w:before="0" w:after="0" w:lineRule="auto" w:line="312"/>
        <w:jc w:val="both"/>
      </w:pPr>
      <w:r>
        <w:rPr>
          <w:rFonts w:ascii="Times New Roman" w:hAnsi="Times New Roman" w:eastAsia="Times New Roman"/>
          <w:b w:val="0"/>
          <w:i w:val="0"/>
          <w:sz w:val="22"/>
        </w:rPr>
        <w:t>* Việc công khai và việc gửi kết luận phải bảo đảm không làm tiết lộ thông tin về người tố cáo và những nội dung thuộc bí mật nhà nước; không ghi họ tên, địa chỉ, bút tích và các thông tin cá nhân khác của người tố cáo trong kết luận theo Điều 40 và Điều 56 Luật Tố cáo.</w:t>
      </w:r>
    </w:p>
    <w:p>
      <w:pPr>
        <w:spacing w:before="0" w:after="0" w:lineRule="auto" w:line="312"/>
        <w:jc w:val="both"/>
      </w:pPr>
      <w:r>
        <w:rPr>
          <w:rFonts w:ascii="Times New Roman" w:hAnsi="Times New Roman" w:eastAsia="Times New Roman"/>
          <w:b w:val="0"/>
          <w:i w:val="0"/>
          <w:sz w:val="22"/>
        </w:rPr>
        <w:t>* Khi có căn cứ cho rằng vị trí công tác, việc làm, tính mạng, sức khỏe, tài sản, danh dự, nhân phẩm của người tố cáo hoặc vợ, chồng, cha đẻ, mẹ đẻ, cha nuôi, mẹ nuôi, con đẻ, con nuôi của người tố cáo bị xâm hại hoặc có nguy cơ bị xâm hại, bị trù dập, phân biệt đối xử do việc tố cáo thì phải quyết định áp dụng biện pháp bảo vệ người tố cáo theo thẩm quyền hoặc đề nghị cơ quan có thẩm quyền áp dụng theo Chương VI Luật Tố cáo.</w:t>
      </w:r>
    </w:p>
    <w:p>
      <w:pPr>
        <w:spacing w:before="0" w:after="0" w:lineRule="auto" w:line="312"/>
        <w:jc w:val="both"/>
      </w:pPr>
      <w:r>
        <w:rPr>
          <w:rFonts w:ascii="Times New Roman" w:hAnsi="Times New Roman" w:eastAsia="Times New Roman"/>
          <w:b w:val="0"/>
          <w:i w:val="0"/>
          <w:sz w:val="22"/>
        </w:rPr>
        <w:t>* Người giải quyết tố cáo có trách nhiệm theo dõi, đôn đốc hoặc giao cơ quan thanh tra cùng cấp hoặc đơn vị tham mưu giải quyết tố cáo theo dõi, đôn đốc việc thực hiện kết luận nội dung tố cáo; cơ quan, tổ chức, cá nhân có thẩm quyền xử lý kiến nghị phải thông báo bằng văn bản kết quả xử lý cho người giải quyết tố cáo trong thời hạn 05 ngày làm việc kể từ ngày có kết quả xử lý.</w:t>
      </w:r>
    </w:p>
    <w:p>
      <w:pPr>
        <w:spacing w:before="0" w:after="0" w:lineRule="auto" w:line="312"/>
        <w:jc w:val="both"/>
      </w:pPr>
      <w:r>
        <w:rPr>
          <w:rFonts w:ascii="Times New Roman" w:hAnsi="Times New Roman" w:eastAsia="Times New Roman"/>
          <w:b w:val="0"/>
          <w:i w:val="0"/>
          <w:sz w:val="22"/>
        </w:rPr>
        <w:t>* Kết luận và toàn bộ hồ sơ vụ việc phải được lưu trữ theo quy định và cập nhật vào Cơ sở dữ liệu quốc gia về tiếp công dân, xử lý đơn, giải quyết khiếu nại, tố cáo.</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chức danh người ký cho phù hợp với cơ quan mình; thẩm quyền giải quyết tố cáo được xác định theo Điều 13 Luật Tố cáo, gồm Chủ tịch Ủy ban nhân dân cấp xã, người đứng đầu cơ quan chuyên môn, tổ chức hành chính khác thuộc Ủy ban nhân dân cấp tỉnh và Chủ tịch Ủy ban nhân dân cấp tỉnh.</w:t>
      </w:r>
    </w:p>
    <w:p>
      <w:pPr>
        <w:spacing w:before="0" w:after="0" w:lineRule="auto" w:line="312"/>
        <w:jc w:val="both"/>
      </w:pPr>
      <w:r>
        <w:rPr>
          <w:rFonts w:ascii="Times New Roman" w:hAnsi="Times New Roman" w:eastAsia="Times New Roman"/>
          <w:b w:val="0"/>
          <w:i w:val="0"/>
          <w:sz w:val="22"/>
        </w:rPr>
        <w:t>* Căn cứ pháp lý: Điều 13, Điều 30, Điều 35, Điều 36, Điều 40, Điều 56 và Chương VI Luật Tố cáo số 25/2018/QH14 đã được sửa đổi, bổ sung theo Luật số 59/2020/QH14, Luật số 81/2025/QH15, Luật số 84/2025/QH15 và Luật số 136/2025/QH15; Điều 6, Điều 17, Điều 18 Nghị định số 31/2019/NĐ-CP ngày 10 tháng 4 năm 2019 của Chính phủ, đã được sửa đổi, bổ sung theo Nghị định số 156/2026/NĐ-CP ngày 15 tháng 5 năm 2026 của Chính phủ (Mẫu số 12);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