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……/TTTP-……(1)</w:t>
            </w:r>
          </w:p>
          <w:p>
            <w:pPr>
              <w:spacing w:before="0" w:after="0" w:lineRule="auto" w:line="276"/>
              <w:jc w:val="center"/>
            </w:pPr>
            <w:r>
              <w:rPr>
                <w:rFonts w:ascii="Times New Roman" w:hAnsi="Times New Roman" w:eastAsia="Times New Roman"/>
                <w:b w:val="0"/>
                <w:i/>
                <w:sz w:val="24"/>
              </w:rPr>
              <w:t>V/v trưng cầu giám định phục vụ việc giải quyết tố cáo</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 ………………(3) đã ban hành Quyết định số ………………(4) thụ lý tố cáo đối với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Trong quá trình xác minh nội dung tố cáo, xét thấy cần có sự đánh giá về nội dung liên quan đến chuyên môn, kỹ thuật làm căn cứ cho việc kết luận nội dung tố cáo và xử lý hành vi vi phạm bị tố cáo, Thanh tra Thành phố Hồ Chí Minh trưng cầu giám định đối với các thông tin, tài liệu, bằng chứng sau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Nội dung yêu cầu giám định: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Đề nghị ………………(2) tiến hành giám định và gửi kết luận giám định cho Thanh tra Thành phố Hồ Chí Minh trước ngày …… tháng …… năm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cử ông (bà) ………………(9), thành viên Đoàn (Tổ) xác minh nội dung tố cáo, trực tiếp bàn giao thông tin, tài liệu, bằng chứng và tiếp nhận kết luận giám định.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Kinh phí giám định (nếu phải chi trả) do ………………(10) chi trả theo quy định của pháp luật.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trân trọng đề nghị ………………(2) quan tâm, phối hợp thực hiện./.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……(11);</w:t>
            </w:r>
          </w:p>
          <w:p>
            <w:pPr>
              <w:spacing w:before="0" w:after="0" w:lineRule="auto" w:line="276"/>
              <w:jc w:val="left"/>
            </w:pPr>
            <w:r>
              <w:rPr>
                <w:rFonts w:ascii="Times New Roman" w:hAnsi="Times New Roman" w:eastAsia="Times New Roman"/>
                <w:b w:val="0"/>
                <w:i w:val="0"/>
                <w:sz w:val="22"/>
              </w:rPr>
              <w:t>- Người tố cáo;</w:t>
            </w:r>
          </w:p>
          <w:p>
            <w:pPr>
              <w:spacing w:before="0" w:after="0" w:lineRule="auto" w:line="276"/>
              <w:jc w:val="left"/>
            </w:pPr>
            <w:r>
              <w:rPr>
                <w:rFonts w:ascii="Times New Roman" w:hAnsi="Times New Roman" w:eastAsia="Times New Roman"/>
                <w:b w:val="0"/>
                <w:i w:val="0"/>
                <w:sz w:val="22"/>
              </w:rPr>
              <w:t>- ……(12);</w:t>
            </w:r>
          </w:p>
          <w:p>
            <w:pPr>
              <w:spacing w:before="0" w:after="0" w:lineRule="auto" w:line="276"/>
              <w:jc w:val="left"/>
            </w:pPr>
            <w:r>
              <w:rPr>
                <w:rFonts w:ascii="Times New Roman" w:hAnsi="Times New Roman" w:eastAsia="Times New Roman"/>
                <w:b w:val="0"/>
                <w:i w:val="0"/>
                <w:sz w:val="22"/>
              </w:rPr>
              <w:t>- Lưu: VT, hồ sơ, ……(13).</w:t>
            </w:r>
          </w:p>
        </w:tc>
        <w:tc>
          <w:tcPr>
            <w:tcW w:type="dxa" w:w="4819"/>
          </w:tcPr>
          <w:p>
            <w:pPr>
              <w:spacing w:before="0" w:after="0" w:lineRule="auto" w:line="276"/>
              <w:jc w:val="center"/>
            </w:pPr>
            <w:r>
              <w:rPr>
                <w:rFonts w:ascii="Times New Roman" w:hAnsi="Times New Roman" w:eastAsia="Times New Roman"/>
                <w:b/>
                <w:i w:val="0"/>
                <w:sz w:val="26"/>
              </w:rPr>
              <w:t>………………………(14)</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văn bản. Ví dụ: "Số: 268/TTTP-P1".</w:t>
      </w:r>
    </w:p>
    <w:p>
      <w:pPr>
        <w:spacing w:before="0" w:after="0" w:lineRule="auto" w:line="312"/>
        <w:jc w:val="both"/>
      </w:pPr>
      <w:r>
        <w:rPr>
          <w:rFonts w:ascii="Times New Roman" w:hAnsi="Times New Roman" w:eastAsia="Times New Roman"/>
          <w:b w:val="0"/>
          <w:i w:val="0"/>
          <w:sz w:val="22"/>
        </w:rPr>
        <w:t>(2) Tên cơ quan, tổ chức được yêu cầu giám định; chỉ số này xuất hiện ba lần trong văn bản, phải ghi thống nhất. Ví dụ: "Phân viện Khoa học hình sự tại Thành phố Hồ Chí Minh"; "Trung tâm Kỹ thuật Tiêu chuẩn Đo lường Chất lượng 3".</w:t>
      </w:r>
    </w:p>
    <w:p>
      <w:pPr>
        <w:spacing w:before="0" w:after="0" w:lineRule="auto" w:line="312"/>
        <w:jc w:val="both"/>
      </w:pPr>
      <w:r>
        <w:rPr>
          <w:rFonts w:ascii="Times New Roman" w:hAnsi="Times New Roman" w:eastAsia="Times New Roman"/>
          <w:b w:val="0"/>
          <w:i w:val="0"/>
          <w:sz w:val="22"/>
        </w:rPr>
        <w:t>(3) Chức danh người giải quyết tố cáo đã ban hành quyết định thụ lý tố cáo. Ví dụ: "Chánh Thanh tra Thành phố Hồ Chí Minh"; "Chủ tịch Ủy ban nhân dân Thành phố Hồ Chí Minh".</w:t>
      </w:r>
    </w:p>
    <w:p>
      <w:pPr>
        <w:spacing w:before="0" w:after="0" w:lineRule="auto" w:line="312"/>
        <w:jc w:val="both"/>
      </w:pPr>
      <w:r>
        <w:rPr>
          <w:rFonts w:ascii="Times New Roman" w:hAnsi="Times New Roman" w:eastAsia="Times New Roman"/>
          <w:b w:val="0"/>
          <w:i w:val="0"/>
          <w:sz w:val="22"/>
        </w:rPr>
        <w:t>(4) Số, ký hiệu quyết định thụ lý tố cáo. Ví dụ: "65/QĐ-TTTP".</w:t>
      </w:r>
    </w:p>
    <w:p>
      <w:pPr>
        <w:spacing w:before="0" w:after="0" w:lineRule="auto" w:line="312"/>
        <w:jc w:val="both"/>
      </w:pPr>
      <w:r>
        <w:rPr>
          <w:rFonts w:ascii="Times New Roman" w:hAnsi="Times New Roman" w:eastAsia="Times New Roman"/>
          <w:b w:val="0"/>
          <w:i w:val="0"/>
          <w:sz w:val="22"/>
        </w:rPr>
        <w:t>(5) Tên cơ quan, tổ chức bị tố cáo hoặc họ tên, chức vụ, chức danh, đơn vị công tác của cá nhân bị tố cáo; không ghi thông tin về người tố cáo. Ví dụ: "ông Nguyễn Văn A, công chức Phòng Nghiệp vụ 2, Thanh tra Thành phố Hồ Chí Minh".</w:t>
      </w:r>
    </w:p>
    <w:p>
      <w:pPr>
        <w:spacing w:before="0" w:after="0" w:lineRule="auto" w:line="312"/>
        <w:jc w:val="both"/>
      </w:pPr>
      <w:r>
        <w:rPr>
          <w:rFonts w:ascii="Times New Roman" w:hAnsi="Times New Roman" w:eastAsia="Times New Roman"/>
          <w:b w:val="0"/>
          <w:i w:val="0"/>
          <w:sz w:val="22"/>
        </w:rPr>
        <w:t>(6) Liệt kê cụ thể từng thông tin, tài liệu, bằng chứng trưng cầu giám định, ghi rõ tên tài liệu, số trang, tình trạng bản chính hay bản sao. Ví dụ: "Đơn xin giao đất ghi ngày 05/6/2015 (bản chính, 02 trang); Biên bản bàn giao mốc giới ngày 10/6/2015 (bản chính, 01 trang)".</w:t>
      </w:r>
    </w:p>
    <w:p>
      <w:pPr>
        <w:spacing w:before="0" w:after="0" w:lineRule="auto" w:line="312"/>
        <w:jc w:val="both"/>
      </w:pPr>
      <w:r>
        <w:rPr>
          <w:rFonts w:ascii="Times New Roman" w:hAnsi="Times New Roman" w:eastAsia="Times New Roman"/>
          <w:b w:val="0"/>
          <w:i w:val="0"/>
          <w:sz w:val="22"/>
        </w:rPr>
        <w:t>(7) Nội dung yêu cầu giám định, nêu rõ vấn đề chuyên môn, kỹ thuật cần kết luận. Ví dụ: "Giám định chữ ký đứng tên Nguyễn Văn A trên Đơn xin giao đất ghi ngày 05/6/2015 có phải do ông Nguyễn Văn A ký hay không".</w:t>
      </w:r>
    </w:p>
    <w:p>
      <w:pPr>
        <w:spacing w:before="0" w:after="0" w:lineRule="auto" w:line="312"/>
        <w:jc w:val="both"/>
      </w:pPr>
      <w:r>
        <w:rPr>
          <w:rFonts w:ascii="Times New Roman" w:hAnsi="Times New Roman" w:eastAsia="Times New Roman"/>
          <w:b w:val="0"/>
          <w:i w:val="0"/>
          <w:sz w:val="22"/>
        </w:rPr>
        <w:t>(8) Thời hạn đề nghị gửi kết luận giám định; xác định phù hợp với tiến độ xác minh, bảo đảm còn đủ thời gian lập báo cáo kết quả xác minh và ban hành kết luận nội dung tố cáo. Ví dụ: "trước ngày 05 tháng 9 năm 2026".</w:t>
      </w:r>
    </w:p>
    <w:p>
      <w:pPr>
        <w:spacing w:before="0" w:after="0" w:lineRule="auto" w:line="312"/>
        <w:jc w:val="both"/>
      </w:pPr>
      <w:r>
        <w:rPr>
          <w:rFonts w:ascii="Times New Roman" w:hAnsi="Times New Roman" w:eastAsia="Times New Roman"/>
          <w:b w:val="0"/>
          <w:i w:val="0"/>
          <w:sz w:val="22"/>
        </w:rPr>
        <w:t>(9) Họ tên, chức vụ, chức danh, đơn vị công tác của thành viên Đoàn (Tổ) xác minh được cử bàn giao thông tin, tài liệu, bằng chứng và tiếp nhận kết luận giám định. Ví dụ: "ông Trần Văn B, Thanh tra viên, Phòng Nghiệp vụ 1".</w:t>
      </w:r>
    </w:p>
    <w:p>
      <w:pPr>
        <w:spacing w:before="0" w:after="0" w:lineRule="auto" w:line="312"/>
        <w:jc w:val="both"/>
      </w:pPr>
      <w:r>
        <w:rPr>
          <w:rFonts w:ascii="Times New Roman" w:hAnsi="Times New Roman" w:eastAsia="Times New Roman"/>
          <w:b w:val="0"/>
          <w:i w:val="0"/>
          <w:sz w:val="22"/>
        </w:rPr>
        <w:t>(10) Cơ quan, tổ chức chi trả kinh phí giám định theo quy định của pháp luật. Ví dụ: "Thanh tra Thành phố Hồ Chí Minh".</w:t>
      </w:r>
    </w:p>
    <w:p>
      <w:pPr>
        <w:spacing w:before="0" w:after="0" w:lineRule="auto" w:line="312"/>
        <w:jc w:val="both"/>
      </w:pPr>
      <w:r>
        <w:rPr>
          <w:rFonts w:ascii="Times New Roman" w:hAnsi="Times New Roman" w:eastAsia="Times New Roman"/>
          <w:b w:val="0"/>
          <w:i w:val="0"/>
          <w:sz w:val="22"/>
        </w:rPr>
        <w:t>(11) Người giải quyết tố cáo, ghi thống nhất với chỉ số (3); bắt buộc phải có trong nơi nhận theo khoản 2 Điều 15 Nghị định số 31/2019/NĐ-CP. Ví dụ: "Chủ tịch Ủy ban nhân dân Thành phố Hồ Chí Minh (để báo cáo)".</w:t>
      </w:r>
    </w:p>
    <w:p>
      <w:pPr>
        <w:spacing w:before="0" w:after="0" w:lineRule="auto" w:line="312"/>
        <w:jc w:val="both"/>
      </w:pPr>
      <w:r>
        <w:rPr>
          <w:rFonts w:ascii="Times New Roman" w:hAnsi="Times New Roman" w:eastAsia="Times New Roman"/>
          <w:b w:val="0"/>
          <w:i w:val="0"/>
          <w:sz w:val="22"/>
        </w:rPr>
        <w:t>(12) Cơ quan, tổ chức, cá nhân có liên quan cần gửi để biết, phối hợp. Ví dụ: "Người bị tố cáo"; "Ủy ban nhân dân Phường Xuân Hòa (để phối hợp cung cấp tài liệu)".</w:t>
      </w:r>
    </w:p>
    <w:p>
      <w:pPr>
        <w:spacing w:before="0" w:after="0" w:lineRule="auto" w:line="312"/>
        <w:jc w:val="both"/>
      </w:pPr>
      <w:r>
        <w:rPr>
          <w:rFonts w:ascii="Times New Roman" w:hAnsi="Times New Roman" w:eastAsia="Times New Roman"/>
          <w:b w:val="0"/>
          <w:i w:val="0"/>
          <w:sz w:val="22"/>
        </w:rPr>
        <w:t>(13) Chữ viết tắt tên phòng, đơn vị soạn thảo, tên viết tắt của người soạn thảo và số lượng bản phát hành. Ví dụ: "P1/TVB.6b".</w:t>
      </w:r>
    </w:p>
    <w:p>
      <w:pPr>
        <w:spacing w:before="0" w:after="0" w:lineRule="auto" w:line="312"/>
        <w:jc w:val="both"/>
      </w:pPr>
      <w:r>
        <w:rPr>
          <w:rFonts w:ascii="Times New Roman" w:hAnsi="Times New Roman" w:eastAsia="Times New Roman"/>
          <w:b w:val="0"/>
          <w:i w:val="0"/>
          <w:sz w:val="22"/>
        </w:rPr>
        <w:t>(14) Chức danh người ký văn bản. Ví dụ: "CHÁNH THANH TRA" hoặc "KT. CHÁNH THANH TRA - PHÓ CHÁNH THANH TRA".</w:t>
      </w:r>
    </w:p>
    <w:p>
      <w:pPr>
        <w:spacing w:before="0" w:after="0" w:lineRule="auto" w:line="312"/>
        <w:jc w:val="both"/>
      </w:pPr>
      <w:r>
        <w:rPr>
          <w:rFonts w:ascii="Times New Roman" w:hAnsi="Times New Roman" w:eastAsia="Times New Roman"/>
          <w:b w:val="0"/>
          <w:i w:val="0"/>
          <w:sz w:val="22"/>
        </w:rPr>
        <w:t>* Trong giải quyết tố cáo, việc trưng cầu giám định được thực hiện bằng VĂN BẢN theo Mẫu số 09, không ban hành quyết định trưng cầu giám định; văn bản phải nêu rõ tên cơ quan, tổ chức được yêu cầu giám định, nội dung yêu cầu giám định và thời hạn đề nghị gửi kết luận giám định theo khoản 2 Điều 15 Nghị định số 31/2019/NĐ-CP đã được sửa đổi, bổ sung theo Điều 2 Nghị định số 156/2026/NĐ-CP.</w:t>
      </w:r>
    </w:p>
    <w:p>
      <w:pPr>
        <w:spacing w:before="0" w:after="0" w:lineRule="auto" w:line="312"/>
        <w:jc w:val="both"/>
      </w:pPr>
      <w:r>
        <w:rPr>
          <w:rFonts w:ascii="Times New Roman" w:hAnsi="Times New Roman" w:eastAsia="Times New Roman"/>
          <w:b w:val="0"/>
          <w:i w:val="0"/>
          <w:sz w:val="22"/>
        </w:rPr>
        <w:t>* Đây là công văn hành chính nên không có tên loại văn bản; trích yếu nội dung được đặt dưới số, ký hiệu ở góc trên bên trái theo Nghị định số 30/2020/NĐ-CP.</w:t>
      </w:r>
    </w:p>
    <w:p>
      <w:pPr>
        <w:spacing w:before="0" w:after="0" w:lineRule="auto" w:line="312"/>
        <w:jc w:val="both"/>
      </w:pPr>
      <w:r>
        <w:rPr>
          <w:rFonts w:ascii="Times New Roman" w:hAnsi="Times New Roman" w:eastAsia="Times New Roman"/>
          <w:b w:val="0"/>
          <w:i w:val="0"/>
          <w:sz w:val="22"/>
        </w:rPr>
        <w:t>* Văn bản trưng cầu giám định bắt buộc phải được gửi cho người giải quyết tố cáo, người tố cáo và cơ quan, tổ chức, cá nhân có liên quan.</w:t>
      </w:r>
    </w:p>
    <w:p>
      <w:pPr>
        <w:spacing w:before="0" w:after="0" w:lineRule="auto" w:line="312"/>
        <w:jc w:val="both"/>
      </w:pPr>
      <w:r>
        <w:rPr>
          <w:rFonts w:ascii="Times New Roman" w:hAnsi="Times New Roman" w:eastAsia="Times New Roman"/>
          <w:b w:val="0"/>
          <w:i w:val="0"/>
          <w:sz w:val="22"/>
        </w:rPr>
        <w:t>* Bản gửi cơ quan, tổ chức được yêu cầu giám định và các cơ quan, tổ chức, cá nhân có liên quan phải lược bỏ họ tên, địa chỉ, bút tích và các thông tin cá nhân khác của người tố cáo; trong nơi nhận chỉ ghi "Người tố cáo", không ghi họ tên, địa chỉ cụ thể theo Điều 56 Luật Tố cáo.</w:t>
      </w:r>
    </w:p>
    <w:p>
      <w:pPr>
        <w:spacing w:before="0" w:after="0" w:lineRule="auto" w:line="312"/>
        <w:jc w:val="both"/>
      </w:pPr>
      <w:r>
        <w:rPr>
          <w:rFonts w:ascii="Times New Roman" w:hAnsi="Times New Roman" w:eastAsia="Times New Roman"/>
          <w:b w:val="0"/>
          <w:i w:val="0"/>
          <w:sz w:val="22"/>
        </w:rPr>
        <w:t>* Người giải quyết tố cáo quyết định việc trưng cầu giám định hoặc ủy quyền cho cơ quan, tổ chức được giao xác minh nội dung tố cáo quyết định việc trưng cầu giám định; trường hợp ủy quyền thì phải nêu rõ văn bản ủy quyền tại phần mở đầu và gửi văn bản này cho người giải quyết tố cáo.</w:t>
      </w:r>
    </w:p>
    <w:p>
      <w:pPr>
        <w:spacing w:before="0" w:after="0" w:lineRule="auto" w:line="312"/>
        <w:jc w:val="both"/>
      </w:pPr>
      <w:r>
        <w:rPr>
          <w:rFonts w:ascii="Times New Roman" w:hAnsi="Times New Roman" w:eastAsia="Times New Roman"/>
          <w:b w:val="0"/>
          <w:i w:val="0"/>
          <w:sz w:val="22"/>
        </w:rPr>
        <w:t>* Thời gian giám định không tính vào thời hạn giải quyết tố cáo; phải ghi nhận mốc thời gian gửi trưng cầu và ngày nhận kết luận giám định trong hồ sơ để tính lại thời hạn.</w:t>
      </w:r>
    </w:p>
    <w:p>
      <w:pPr>
        <w:spacing w:before="0" w:after="0" w:lineRule="auto" w:line="312"/>
        <w:jc w:val="both"/>
      </w:pPr>
      <w:r>
        <w:rPr>
          <w:rFonts w:ascii="Times New Roman" w:hAnsi="Times New Roman" w:eastAsia="Times New Roman"/>
          <w:b w:val="0"/>
          <w:i w:val="0"/>
          <w:sz w:val="22"/>
        </w:rPr>
        <w:t>* Cơ quan, tổ chức giám định chịu trách nhiệm trước pháp luật về tính chính xác, khách quan, kịp thời của kết quả giám định; kết luận giám định phải được lưu trong hồ sơ giải quyết vụ việc tố cáo và là một trong các căn cứ để kết luận nội dung tố cáo.</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ký hiệu văn bản, tên cơ quan trưng cầu giám định nêu trong nội dung và chức danh người ký cho phù hợp với cơ quan mình.</w:t>
      </w:r>
    </w:p>
    <w:p>
      <w:pPr>
        <w:spacing w:before="0" w:after="0" w:lineRule="auto" w:line="312"/>
        <w:jc w:val="both"/>
      </w:pPr>
      <w:r>
        <w:rPr>
          <w:rFonts w:ascii="Times New Roman" w:hAnsi="Times New Roman" w:eastAsia="Times New Roman"/>
          <w:b w:val="0"/>
          <w:i w:val="0"/>
          <w:sz w:val="22"/>
        </w:rPr>
        <w:t>* Căn cứ pháp lý: Điều 30, Điều 31, Điều 35, Điều 56 Luật Tố cáo số 25/2018/QH14 đã được sửa đổi, bổ sung; Điều 15 Nghị định số 31/2019/NĐ-CP ngày 10 tháng 4 năm 2019 của Chính phủ, đã được sửa đổi, bổ sung theo Điều 2 Nghị định số 156/2026/NĐ-CP ngày 15 tháng 5 năm 2026 của Chính phủ (Mẫu số 09);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