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Thụ lý tố cáo</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CHÁNH THANH TRA THÀNH PHỐ HỒ CHÍ MINH(2)</w:t>
      </w:r>
    </w:p>
    <w:p>
      <w:pPr>
        <w:spacing w:before="0" w:after="0" w:lineRule="auto" w:line="312"/>
        <w:ind w:firstLine="567"/>
        <w:jc w:val="both"/>
      </w:pPr>
      <w:r>
        <w:rPr>
          <w:rFonts w:ascii="Times New Roman" w:hAnsi="Times New Roman" w:eastAsia="Times New Roman"/>
          <w:b w:val="0"/>
          <w:i w:val="0"/>
          <w:sz w:val="26"/>
        </w:rPr>
        <w:t>Căn cứ Luật Tố cáo số 25/2018/QH14 ngày 12 tháng 6 năm 2018 đã được sửa đổi, bổ sung một số điều;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Điều 29 Luật Tố cáo về thụ lý tố cáo và Điều 30 Luật Tố cáo về thời hạn giải quyết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Nghị định số 31/2019/NĐ-CP ngày 10 tháng 4 năm 2019 của Chính phủ quy định chi tiết một số điều và biện pháp tổ chức thi hành Luật Tố cáo, đã được sửa đổi, bổ sung theo Nghị định số 156/2026/NĐ-CP ngày 15 tháng 5 năm 2026 của Chính phủ;</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Căn cứ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Xét đề nghị của …………………………………………………(4).</w:t>
      </w:r>
    </w:p>
    <w:p>
      <w:pPr>
        <w:spacing w:before="0" w:after="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1. Thụ lý tố cáo hành vi vi phạm pháp luật trong việc thực hiện nhiệm vụ, công vụ của ………………(5), theo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Nội dung tố cáo được thụ lý:(7)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2.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Thời hạn giải quyết tố cáo là ……(8) ngày, kể từ ngày ban hành Quyết định này.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2. ………………(9) và cơ quan, tổ chức, đơn vị, cá nhân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2;</w:t>
            </w:r>
          </w:p>
          <w:p>
            <w:pPr>
              <w:spacing w:before="0" w:after="0" w:lineRule="auto" w:line="276"/>
              <w:jc w:val="left"/>
            </w:pPr>
            <w:r>
              <w:rPr>
                <w:rFonts w:ascii="Times New Roman" w:hAnsi="Times New Roman" w:eastAsia="Times New Roman"/>
                <w:b w:val="0"/>
                <w:i w:val="0"/>
                <w:sz w:val="22"/>
              </w:rPr>
              <w:t>- Cơ quan, tổ chức, cá nhân đã chuyển tố cáo đến (nếu có);</w:t>
            </w:r>
          </w:p>
          <w:p>
            <w:pPr>
              <w:spacing w:before="0" w:after="0" w:lineRule="auto" w:line="276"/>
              <w:jc w:val="left"/>
            </w:pPr>
            <w:r>
              <w:rPr>
                <w:rFonts w:ascii="Times New Roman" w:hAnsi="Times New Roman" w:eastAsia="Times New Roman"/>
                <w:b w:val="0"/>
                <w:i w:val="0"/>
                <w:sz w:val="22"/>
              </w:rPr>
              <w:t>- Lưu: VT, hồ sơ, ……(10).</w:t>
            </w:r>
          </w:p>
        </w:tc>
        <w:tc>
          <w:tcPr>
            <w:tcW w:type="dxa" w:w="4819"/>
          </w:tcPr>
          <w:p>
            <w:pPr>
              <w:spacing w:before="0" w:after="0" w:lineRule="auto" w:line="276"/>
              <w:jc w:val="center"/>
            </w:pPr>
            <w:r>
              <w:rPr>
                <w:rFonts w:ascii="Times New Roman" w:hAnsi="Times New Roman" w:eastAsia="Times New Roman"/>
                <w:b/>
                <w:i w:val="0"/>
                <w:sz w:val="26"/>
              </w:rPr>
              <w:t>CHÁNH THANH TRA</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tham mưu giải quyết vụ việc tố cáo. Ví dụ: "Số: 12/QĐ-TTTP-P2".</w:t>
      </w:r>
    </w:p>
    <w:p>
      <w:pPr>
        <w:spacing w:before="0" w:after="0" w:lineRule="auto" w:line="312"/>
        <w:jc w:val="both"/>
      </w:pPr>
      <w:r>
        <w:rPr>
          <w:rFonts w:ascii="Times New Roman" w:hAnsi="Times New Roman" w:eastAsia="Times New Roman"/>
          <w:b w:val="0"/>
          <w:i w:val="0"/>
          <w:sz w:val="22"/>
        </w:rPr>
        <w:t>(2) Chức danh của người giải quyết tố cáo ban hành quyết định thụ lý, xác định theo Điều 13 Luật Tố cáo đã được sửa đổi, bổ sung. Ví dụ: Chánh Thanh tra Thành phố Hồ Chí Minh đối với tố cáo người đứng đầu, cấp phó của người đứng đầu đơn vị trực thuộc Thanh tra Thành phố, công chức, viên chức khác do mình bổ nhiệm, quản lý trực tiếp.</w:t>
      </w:r>
    </w:p>
    <w:p>
      <w:pPr>
        <w:spacing w:before="0" w:after="0" w:lineRule="auto" w:line="312"/>
        <w:jc w:val="both"/>
      </w:pPr>
      <w:r>
        <w:rPr>
          <w:rFonts w:ascii="Times New Roman" w:hAnsi="Times New Roman" w:eastAsia="Times New Roman"/>
          <w:b w:val="0"/>
          <w:i w:val="0"/>
          <w:sz w:val="22"/>
        </w:rPr>
        <w:t>(3) Văn bản quy định chức năng, nhiệm vụ, quyền hạn của cơ quan, tổ chức ban hành quyết định. Ví dụ: quyết định của Ủy ban nhân dân Thành phố Hồ Chí Minh quy định chức năng, nhiệm vụ, quyền hạn và cơ cấu tổ chức của Thanh tra Thành phố.</w:t>
      </w:r>
    </w:p>
    <w:p>
      <w:pPr>
        <w:spacing w:before="0" w:after="0" w:lineRule="auto" w:line="312"/>
        <w:jc w:val="both"/>
      </w:pPr>
      <w:r>
        <w:rPr>
          <w:rFonts w:ascii="Times New Roman" w:hAnsi="Times New Roman" w:eastAsia="Times New Roman"/>
          <w:b w:val="0"/>
          <w:i w:val="0"/>
          <w:sz w:val="22"/>
        </w:rPr>
        <w:t>(4) Cơ quan, tổ chức, đơn vị, cá nhân đề nghị thụ lý tố cáo sau khi kiểm tra, xác minh thông tin về người tố cáo và điều kiện thụ lý. Ví dụ: "Trưởng phòng Phòng Nghiệp vụ 2".</w:t>
      </w:r>
    </w:p>
    <w:p>
      <w:pPr>
        <w:spacing w:before="0" w:after="0" w:lineRule="auto" w:line="312"/>
        <w:jc w:val="both"/>
      </w:pPr>
      <w:r>
        <w:rPr>
          <w:rFonts w:ascii="Times New Roman" w:hAnsi="Times New Roman" w:eastAsia="Times New Roman"/>
          <w:b w:val="0"/>
          <w:i w:val="0"/>
          <w:sz w:val="22"/>
        </w:rPr>
        <w:t>(5) Tên cơ quan, tổ chức bị tố cáo; họ tên, chức vụ, chức danh, địa chỉ của cá nhân bị tố cáo.</w:t>
      </w:r>
    </w:p>
    <w:p>
      <w:pPr>
        <w:spacing w:before="0" w:after="0" w:lineRule="auto" w:line="312"/>
        <w:jc w:val="both"/>
      </w:pPr>
      <w:r>
        <w:rPr>
          <w:rFonts w:ascii="Times New Roman" w:hAnsi="Times New Roman" w:eastAsia="Times New Roman"/>
          <w:b w:val="0"/>
          <w:i w:val="0"/>
          <w:sz w:val="22"/>
        </w:rPr>
        <w:t>(6) Hình thức và thời điểm tiếp nhận tố cáo: đơn tố cáo ngày …, tháng …, năm … hoặc văn bản ghi nội dung tố cáo trình bày trực tiếp ngày …, tháng …, năm …; trường hợp tố cáo do cơ quan, tổ chức, cá nhân có thẩm quyền chuyển đến thì ghi rõ số, ngày, tháng, năm và tên cơ quan chuyển đến. Không ghi họ tên, địa chỉ của người tố cáo trong quyết định.</w:t>
      </w:r>
    </w:p>
    <w:p>
      <w:pPr>
        <w:spacing w:before="0" w:after="0" w:lineRule="auto" w:line="312"/>
        <w:jc w:val="both"/>
      </w:pPr>
      <w:r>
        <w:rPr>
          <w:rFonts w:ascii="Times New Roman" w:hAnsi="Times New Roman" w:eastAsia="Times New Roman"/>
          <w:b w:val="0"/>
          <w:i w:val="0"/>
          <w:sz w:val="22"/>
        </w:rPr>
        <w:t>(7) Liệt kê từng nội dung tố cáo được thụ lý; nội dung nào không đủ điều kiện thụ lý thì không đưa vào quyết định và phải nêu rõ lý do trong thông báo gửi người tố cáo.</w:t>
      </w:r>
    </w:p>
    <w:p>
      <w:pPr>
        <w:spacing w:before="0" w:after="0" w:lineRule="auto" w:line="312"/>
        <w:jc w:val="both"/>
      </w:pPr>
      <w:r>
        <w:rPr>
          <w:rFonts w:ascii="Times New Roman" w:hAnsi="Times New Roman" w:eastAsia="Times New Roman"/>
          <w:b w:val="0"/>
          <w:i w:val="0"/>
          <w:sz w:val="22"/>
        </w:rPr>
        <w:t>(8) Số ngày giải quyết tố cáo, không quá 30 ngày kể từ ngày thụ lý tố cáo; trường hợp vụ việc phức tạp hoặc đặc biệt phức tạp thì việc kéo dài phải thực hiện bằng quyết định gia hạn riêng, không ghi thời hạn dài hơn 30 ngày trong quyết định thụ lý.</w:t>
      </w:r>
    </w:p>
    <w:p>
      <w:pPr>
        <w:spacing w:before="0" w:after="0" w:lineRule="auto" w:line="312"/>
        <w:jc w:val="both"/>
      </w:pPr>
      <w:r>
        <w:rPr>
          <w:rFonts w:ascii="Times New Roman" w:hAnsi="Times New Roman" w:eastAsia="Times New Roman"/>
          <w:b w:val="0"/>
          <w:i w:val="0"/>
          <w:sz w:val="22"/>
        </w:rPr>
        <w:t>(9) Tên cơ quan, tổ chức, đơn vị, cá nhân có trách nhiệm thi hành Quyết định này. Ví dụ: "Chánh Văn phòng Thanh tra Thành phố, Trưởng phòng Phòng Nghiệp vụ 2, người bị tố cáo có tên tại Điều 1".</w:t>
      </w:r>
    </w:p>
    <w:p>
      <w:pPr>
        <w:spacing w:before="0" w:after="0" w:lineRule="auto" w:line="312"/>
        <w:jc w:val="both"/>
      </w:pPr>
      <w:r>
        <w:rPr>
          <w:rFonts w:ascii="Times New Roman" w:hAnsi="Times New Roman" w:eastAsia="Times New Roman"/>
          <w:b w:val="0"/>
          <w:i w:val="0"/>
          <w:sz w:val="22"/>
        </w:rPr>
        <w:t>(10) Chữ viết tắt tên phòng, đơn vị soạn thảo, tên viết tắt của người soạn thảo và số lượng bản phát hành. Ví dụ: "P2/NVB.5b".</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tác giả văn bản ở góc trên bên trái (ỦY BAN NHÂN DÂN THÀNH PHỐ HỒ CHÍ MINH – THANH TRA THÀNH PHỐ), ký hiệu số văn bản và chức danh người ký cho phù hợp với cơ quan mình; trường hợp không có cơ quan chủ quản trực tiếp thì chỉ ghi tên cơ quan ban hành. Trường hợp vụ việc thuộc thẩm quyền giải quyết của Chủ tịch Ủy ban nhân dân Thành phố Hồ Chí Minh thì tác giả văn bản ghi "ỦY BAN NHÂN DÂN THÀNH PHỐ HỒ CHÍ MINH" và người ký là Chủ tịch Ủy ban nhân dân Thành phố.</w:t>
      </w:r>
    </w:p>
    <w:p>
      <w:pPr>
        <w:spacing w:before="0" w:after="0" w:lineRule="auto" w:line="312"/>
        <w:jc w:val="both"/>
      </w:pPr>
      <w:r>
        <w:rPr>
          <w:rFonts w:ascii="Times New Roman" w:hAnsi="Times New Roman" w:eastAsia="Times New Roman"/>
          <w:b w:val="0"/>
          <w:i w:val="0"/>
          <w:sz w:val="22"/>
        </w:rPr>
        <w:t>* Quyết định thụ lý chỉ được ban hành khi có đủ bốn điều kiện quy định tại khoản 1 Điều 29 Luật Tố cáo và trong thời hạn xử lý ban đầu thông tin tố cáo là 07 ngày làm việc kể từ ngày nhận được tố cáo, trường hợp phải kiểm tra, xác minh tại nhiều địa điểm hoặc phải ủy quyền kiểm tra, xác minh thì không quá 10 ngày làm việc.</w:t>
      </w:r>
    </w:p>
    <w:p>
      <w:pPr>
        <w:spacing w:before="0" w:after="0" w:lineRule="auto" w:line="312"/>
        <w:jc w:val="both"/>
      </w:pPr>
      <w:r>
        <w:rPr>
          <w:rFonts w:ascii="Times New Roman" w:hAnsi="Times New Roman" w:eastAsia="Times New Roman"/>
          <w:b w:val="0"/>
          <w:i w:val="0"/>
          <w:sz w:val="22"/>
        </w:rPr>
        <w:t>* Quyết định thụ lý và hồ sơ vụ việc phải được quản lý bảo đảm giữ bí mật họ tên, địa chỉ, bút tích và thông tin cá nhân khác của người tố cáo theo Điều 56 Luật Tố cáo; khi giao xác minh phải lược bỏ thông tin cá nhân của người tố cáo khỏi tài liệu kèm theo.</w:t>
      </w:r>
    </w:p>
    <w:p>
      <w:pPr>
        <w:spacing w:before="0" w:after="0" w:lineRule="auto" w:line="312"/>
        <w:jc w:val="both"/>
      </w:pPr>
      <w:r>
        <w:rPr>
          <w:rFonts w:ascii="Times New Roman" w:hAnsi="Times New Roman" w:eastAsia="Times New Roman"/>
          <w:b w:val="0"/>
          <w:i w:val="0"/>
          <w:sz w:val="22"/>
        </w:rPr>
        <w:t>* Căn cứ: Điều 24, Điều 29 và Điều 30 Luật Tố cáo số 25/2018/QH14 đã được sửa đổi, bổ sung; Điều 13 Luật Tố cáo được sửa đổi, bổ sung theo khoản 2 Điều 3 Luật số 136/2025/QH15; khoản 1 Điều 9 Nghị định số 31/2019/NĐ-CP ngày 10 tháng 4 năm 2019 của Chính phủ (đã được sửa đổi, bổ sung theo Nghị định số 156/2026/NĐ-CP ngày 15 tháng 5 năm 2026 của Chính phủ); Mẫu số 04 tại Phụ lục ban hành kèm theo Nghị định số 31/2019/NĐ-CP.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