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Về việc giải quyết khiếu nại của ………………………………(2)</w:t>
      </w:r>
    </w:p>
    <w:p>
      <w:pPr>
        <w:spacing w:before="0" w:after="0" w:lineRule="auto" w:line="312"/>
        <w:jc w:val="center"/>
      </w:pPr>
      <w:r>
        <w:rPr>
          <w:rFonts w:ascii="Times New Roman" w:hAnsi="Times New Roman" w:eastAsia="Times New Roman"/>
          <w:b/>
          <w:i/>
          <w:sz w:val="26"/>
        </w:rPr>
        <w:t>(lần đầu)</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………………………………………(3)</w:t>
      </w:r>
    </w:p>
    <w:p>
      <w:pPr>
        <w:spacing w:before="0" w:after="0" w:lineRule="auto" w:line="312"/>
        <w:ind w:firstLine="567"/>
        <w:jc w:val="both"/>
      </w:pPr>
      <w:r>
        <w:rPr>
          <w:rFonts w:ascii="Times New Roman" w:hAnsi="Times New Roman" w:eastAsia="Times New Roman"/>
          <w:b w:val="0"/>
          <w:i w:val="0"/>
          <w:sz w:val="26"/>
        </w:rPr>
        <w:t>Căn cứ Luật Khiếu nại số 02/2011/QH13 đã được sửa đổi, bổ sung một số điều theo Luật số 42/2013/QH13, Luật số 81/2025/QH15, Luật số 84/2025/QH15 và Luật số 136/2025/QH15;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124/2020/NĐ-CP ngày 19 tháng 10 năm 2020 của Chính phủ quy định chi tiết một số điều và biện pháp thi hành Luật Khiếu nại, đã được sửa đổi, bổ sung theo Nghị định số 155/2026/NĐ-CP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các quy định của pháp luật khác có liên quan (nếu có);</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Xét đơn khiếu nại ngày …… tháng …… năm ……… của ………………(2), địa chỉ: ………………, đã được thụ lý tại Thông báo về việc thụ lý giải quyết khiếu nại số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Theo báo cáo của ………………(6) tại Văn bản số …… ngày …… tháng …… năm ……… về việc giải quyết khiếu nại của ………………(2) với các nội dung sau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Nội dung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Kết quả xác minh nội dung khiếu nại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Kết quả đối thoại (nếu có)</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IV. Kết luận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Từ những nhận định và căn cứ trên,</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left"/>
      </w:pPr>
      <w:r>
        <w:rPr>
          <w:rFonts w:ascii="Times New Roman" w:hAnsi="Times New Roman" w:eastAsia="Times New Roman"/>
          <w:b/>
          <w:i w:val="0"/>
          <w:sz w:val="26"/>
        </w:rPr>
        <w:t>Điều 1. ………………………………………………………………………(11)</w:t>
      </w:r>
    </w:p>
    <w:p>
      <w:pPr>
        <w:spacing w:before="0" w:after="0" w:lineRule="auto" w:line="312"/>
        <w:ind w:firstLine="567"/>
        <w:jc w:val="left"/>
      </w:pPr>
      <w:r>
        <w:rPr>
          <w:rFonts w:ascii="Times New Roman" w:hAnsi="Times New Roman" w:eastAsia="Times New Roman"/>
          <w:b/>
          <w:i w:val="0"/>
          <w:sz w:val="26"/>
        </w:rPr>
        <w:t>Điều 2. ………………………………………………………………………(12)</w:t>
      </w:r>
    </w:p>
    <w:p>
      <w:pPr>
        <w:spacing w:before="0" w:after="0" w:lineRule="auto" w:line="312"/>
        <w:ind w:firstLine="567"/>
        <w:jc w:val="both"/>
      </w:pPr>
      <w:r>
        <w:rPr>
          <w:rFonts w:ascii="Times New Roman" w:hAnsi="Times New Roman" w:eastAsia="Times New Roman"/>
          <w:b/>
          <w:i w:val="0"/>
          <w:sz w:val="26"/>
        </w:rPr>
        <w:t>Điều 3. Trong thời hạn 30 ngày, kể từ ngày nhận được Quyết định này, nếu ………………(2) không đồng ý với việc giải quyết khiếu nại thì có quyền khiếu nại đến ………………(13) hoặc khởi kiện vụ án hành chính tại Tòa án theo quy định của pháp luật về tố tụng hành chính; đối với vùng sâu, vùng xa đi lại khó khăn thì thời hạn khiếu nại lần hai có thể kéo dài hơn nhưng không quá 45 ngày.</w:t>
      </w:r>
    </w:p>
    <w:p>
      <w:pPr>
        <w:spacing w:before="0" w:after="0" w:lineRule="auto" w:line="312"/>
        <w:ind w:firstLine="567"/>
        <w:jc w:val="both"/>
      </w:pPr>
      <w:r>
        <w:rPr>
          <w:rFonts w:ascii="Times New Roman" w:hAnsi="Times New Roman" w:eastAsia="Times New Roman"/>
          <w:b/>
          <w:i w:val="0"/>
          <w:sz w:val="26"/>
        </w:rPr>
        <w:t>Điều 4. Các ông (bà) ………………(14)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4;</w:t>
            </w:r>
          </w:p>
          <w:p>
            <w:pPr>
              <w:spacing w:before="0" w:after="0" w:lineRule="auto" w:line="276"/>
              <w:jc w:val="left"/>
            </w:pPr>
            <w:r>
              <w:rPr>
                <w:rFonts w:ascii="Times New Roman" w:hAnsi="Times New Roman" w:eastAsia="Times New Roman"/>
                <w:b w:val="0"/>
                <w:i w:val="0"/>
                <w:sz w:val="22"/>
              </w:rPr>
              <w:t>- ……(15);</w:t>
            </w:r>
          </w:p>
          <w:p>
            <w:pPr>
              <w:spacing w:before="0" w:after="0" w:lineRule="auto" w:line="276"/>
              <w:jc w:val="left"/>
            </w:pPr>
            <w:r>
              <w:rPr>
                <w:rFonts w:ascii="Times New Roman" w:hAnsi="Times New Roman" w:eastAsia="Times New Roman"/>
                <w:b w:val="0"/>
                <w:i w:val="0"/>
                <w:sz w:val="22"/>
              </w:rPr>
              <w:t>- ……(16);</w:t>
            </w:r>
          </w:p>
          <w:p>
            <w:pPr>
              <w:spacing w:before="0" w:after="0" w:lineRule="auto" w:line="276"/>
              <w:jc w:val="left"/>
            </w:pPr>
            <w:r>
              <w:rPr>
                <w:rFonts w:ascii="Times New Roman" w:hAnsi="Times New Roman" w:eastAsia="Times New Roman"/>
                <w:b w:val="0"/>
                <w:i w:val="0"/>
                <w:sz w:val="22"/>
              </w:rPr>
              <w:t>- ……(17);</w:t>
            </w:r>
          </w:p>
          <w:p>
            <w:pPr>
              <w:spacing w:before="0" w:after="0" w:lineRule="auto" w:line="276"/>
              <w:jc w:val="left"/>
            </w:pPr>
            <w:r>
              <w:rPr>
                <w:rFonts w:ascii="Times New Roman" w:hAnsi="Times New Roman" w:eastAsia="Times New Roman"/>
                <w:b w:val="0"/>
                <w:i w:val="0"/>
                <w:sz w:val="22"/>
              </w:rPr>
              <w:t>- Lưu: VT, hồ sơ, ……(18).</w:t>
            </w:r>
          </w:p>
        </w:tc>
        <w:tc>
          <w:tcPr>
            <w:tcW w:type="dxa" w:w="4819"/>
          </w:tcPr>
          <w:p>
            <w:pPr>
              <w:spacing w:before="0" w:after="0" w:lineRule="auto" w:line="276"/>
              <w:jc w:val="center"/>
            </w:pPr>
            <w:r>
              <w:rPr>
                <w:rFonts w:ascii="Times New Roman" w:hAnsi="Times New Roman" w:eastAsia="Times New Roman"/>
                <w:b/>
                <w:i w:val="0"/>
                <w:sz w:val="26"/>
              </w:rPr>
              <w:t>………………………(19)</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quyết định. Ví dụ: "Số: 120/QĐ-TTTP-P1".</w:t>
      </w:r>
    </w:p>
    <w:p>
      <w:pPr>
        <w:spacing w:before="0" w:after="0" w:lineRule="auto" w:line="312"/>
        <w:jc w:val="both"/>
      </w:pPr>
      <w:r>
        <w:rPr>
          <w:rFonts w:ascii="Times New Roman" w:hAnsi="Times New Roman" w:eastAsia="Times New Roman"/>
          <w:b w:val="0"/>
          <w:i w:val="0"/>
          <w:sz w:val="22"/>
        </w:rPr>
        <w:t>(2) Họ và tên người khiếu nại; trường hợp cơ quan, tổ chức khiếu nại thì ghi tên cơ quan, tổ chức và người đại diện, người được ủy quyền khiếu nại; nhiều người cùng khiếu nại về một nội dung thì ghi người đại diện kèm tổng số người. Ví dụ: "ông Nguyễn Văn A và 12 người".</w:t>
      </w:r>
    </w:p>
    <w:p>
      <w:pPr>
        <w:spacing w:before="0" w:after="0" w:lineRule="auto" w:line="312"/>
        <w:jc w:val="both"/>
      </w:pPr>
      <w:r>
        <w:rPr>
          <w:rFonts w:ascii="Times New Roman" w:hAnsi="Times New Roman" w:eastAsia="Times New Roman"/>
          <w:b w:val="0"/>
          <w:i w:val="0"/>
          <w:sz w:val="22"/>
        </w:rPr>
        <w:t>(3) Chức danh người ban hành quyết định giải quyết khiếu nại lần đầu. Ví dụ: "CHÁNH THANH TRA THÀNH PHỐ HỒ CHÍ MINH" khi khiếu nại quyết định hành chính, hành vi hành chính của chính Chánh Thanh tra Thành phố hoặc của công chức do mình quản lý trực tiếp; "CHỦ TỊCH ỦY BAN NHÂN DÂN THÀNH PHỐ HỒ CHÍ MINH" khi khiếu nại quyết định hành chính, hành vi hành chính của Chủ tịch Ủy ban nhân dân Thành phố.</w:t>
      </w:r>
    </w:p>
    <w:p>
      <w:pPr>
        <w:spacing w:before="0" w:after="0" w:lineRule="auto" w:line="312"/>
        <w:jc w:val="both"/>
      </w:pPr>
      <w:r>
        <w:rPr>
          <w:rFonts w:ascii="Times New Roman" w:hAnsi="Times New Roman" w:eastAsia="Times New Roman"/>
          <w:b w:val="0"/>
          <w:i w:val="0"/>
          <w:sz w:val="22"/>
        </w:rPr>
        <w:t>(4) Văn bản quy định chức năng, nhiệm vụ, quyền hạn và cơ cấu tổ chức của cơ quan ban hành quyết định giải quyết khiếu nại.</w:t>
      </w:r>
    </w:p>
    <w:p>
      <w:pPr>
        <w:spacing w:before="0" w:after="0" w:lineRule="auto" w:line="312"/>
        <w:jc w:val="both"/>
      </w:pPr>
      <w:r>
        <w:rPr>
          <w:rFonts w:ascii="Times New Roman" w:hAnsi="Times New Roman" w:eastAsia="Times New Roman"/>
          <w:b w:val="0"/>
          <w:i w:val="0"/>
          <w:sz w:val="22"/>
        </w:rPr>
        <w:t>(5) Số, ký hiệu, ngày tháng năm của thông báo về việc thụ lý giải quyết khiếu nại; đây là mốc bắt đầu tính thời hạn giải quyết khiếu nại.</w:t>
      </w:r>
    </w:p>
    <w:p>
      <w:pPr>
        <w:spacing w:before="0" w:after="0" w:lineRule="auto" w:line="312"/>
        <w:jc w:val="both"/>
      </w:pPr>
      <w:r>
        <w:rPr>
          <w:rFonts w:ascii="Times New Roman" w:hAnsi="Times New Roman" w:eastAsia="Times New Roman"/>
          <w:b w:val="0"/>
          <w:i w:val="0"/>
          <w:sz w:val="22"/>
        </w:rPr>
        <w:t>(6) Cơ quan, tổ chức, đơn vị, cá nhân được giao tham mưu, xác minh giải quyết vụ việc khiếu nại. Ví dụ: "Phòng Nghiệp vụ 1" hoặc "Thanh tra Thành phố Hồ Chí Minh".</w:t>
      </w:r>
    </w:p>
    <w:p>
      <w:pPr>
        <w:spacing w:before="0" w:after="0" w:lineRule="auto" w:line="312"/>
        <w:jc w:val="both"/>
      </w:pPr>
      <w:r>
        <w:rPr>
          <w:rFonts w:ascii="Times New Roman" w:hAnsi="Times New Roman" w:eastAsia="Times New Roman"/>
          <w:b w:val="0"/>
          <w:i w:val="0"/>
          <w:sz w:val="22"/>
        </w:rPr>
        <w:t>(7) Ghi rõ từng nội dung khiếu nại, lý do khiếu nại và yêu cầu giải quyết cụ thể của người khiếu nại; ghi rõ quyết định hành chính, hành vi hành chính bị khiếu nại.</w:t>
      </w:r>
    </w:p>
    <w:p>
      <w:pPr>
        <w:spacing w:before="0" w:after="0" w:lineRule="auto" w:line="312"/>
        <w:jc w:val="both"/>
      </w:pPr>
      <w:r>
        <w:rPr>
          <w:rFonts w:ascii="Times New Roman" w:hAnsi="Times New Roman" w:eastAsia="Times New Roman"/>
          <w:b w:val="0"/>
          <w:i w:val="0"/>
          <w:sz w:val="22"/>
        </w:rPr>
        <w:t>(8) Ghi rõ từng nội dung đã được xác minh để làm rõ nội dung khiếu nại, tài liệu, bằng chứng làm căn cứ; kết quả giải quyết trước đó (nếu có) và kết quả trưng cầu giám định (nếu có).</w:t>
      </w:r>
    </w:p>
    <w:p>
      <w:pPr>
        <w:spacing w:before="0" w:after="0" w:lineRule="auto" w:line="312"/>
        <w:jc w:val="both"/>
      </w:pPr>
      <w:r>
        <w:rPr>
          <w:rFonts w:ascii="Times New Roman" w:hAnsi="Times New Roman" w:eastAsia="Times New Roman"/>
          <w:b w:val="0"/>
          <w:i w:val="0"/>
          <w:sz w:val="22"/>
        </w:rPr>
        <w:t>(9) Ghi rõ kết quả đối thoại: thời gian, địa điểm, thành phần tham gia, nội dung đã thống nhất và những vấn đề còn có ý kiến khác nhau. Trường hợp người khiếu nại đã được mời đối thoại nhưng không tham gia mà không có lý do chính đáng thì ghi rõ để làm rõ việc vẫn tiếp tục giải quyết khiếu nại; trường hợp giải quyết lần đầu không phải tổ chức đối thoại thì ghi "không tổ chức đối thoại" và nêu lý do.</w:t>
      </w:r>
    </w:p>
    <w:p>
      <w:pPr>
        <w:spacing w:before="0" w:after="0" w:lineRule="auto" w:line="312"/>
        <w:jc w:val="both"/>
      </w:pPr>
      <w:r>
        <w:rPr>
          <w:rFonts w:ascii="Times New Roman" w:hAnsi="Times New Roman" w:eastAsia="Times New Roman"/>
          <w:b w:val="0"/>
          <w:i w:val="0"/>
          <w:sz w:val="22"/>
        </w:rPr>
        <w:t>(10) Nêu rõ căn cứ pháp luật, viện dẫn đến từng điều, khoản, điểm của văn bản quy phạm pháp luật để kết luận về từng nội dung khiếu nại; kết luận rõ từng nội dung khiếu nại là đúng toàn bộ, đúng một phần hay sai toàn bộ; nếu đúng một phần thì ghi cụ thể phần nào đúng.</w:t>
      </w:r>
    </w:p>
    <w:p>
      <w:pPr>
        <w:spacing w:before="0" w:after="0" w:lineRule="auto" w:line="312"/>
        <w:jc w:val="both"/>
      </w:pPr>
      <w:r>
        <w:rPr>
          <w:rFonts w:ascii="Times New Roman" w:hAnsi="Times New Roman" w:eastAsia="Times New Roman"/>
          <w:b w:val="0"/>
          <w:i w:val="0"/>
          <w:sz w:val="22"/>
        </w:rPr>
        <w:t>(11) Giữ nguyên, sửa đổi, bổ sung hoặc hủy bỏ một phần hay toàn bộ quyết định hành chính bị khiếu nại; tiếp tục thực hiện hoặc chấm dứt hành vi hành chính bị khiếu nại. Ghi rõ số, ký hiệu, ngày tháng năm và người ký của quyết định hành chính được xử lý.</w:t>
      </w:r>
    </w:p>
    <w:p>
      <w:pPr>
        <w:spacing w:before="0" w:after="0" w:lineRule="auto" w:line="312"/>
        <w:jc w:val="both"/>
      </w:pPr>
      <w:r>
        <w:rPr>
          <w:rFonts w:ascii="Times New Roman" w:hAnsi="Times New Roman" w:eastAsia="Times New Roman"/>
          <w:b w:val="0"/>
          <w:i w:val="0"/>
          <w:sz w:val="22"/>
        </w:rPr>
        <w:t>(12) Giải quyết các vấn đề cụ thể liên quan đến nội dung khiếu nại: khôi phục quyền, lợi ích hợp pháp của người khiếu nại và của cơ quan, tổ chức, cá nhân có liên quan; bồi thường thiệt hại cho người bị thiệt hại (nếu có); giao trách nhiệm tổ chức thực hiện và thời hạn thực hiện.</w:t>
      </w:r>
    </w:p>
    <w:p>
      <w:pPr>
        <w:spacing w:before="0" w:after="0" w:lineRule="auto" w:line="312"/>
        <w:jc w:val="both"/>
      </w:pPr>
      <w:r>
        <w:rPr>
          <w:rFonts w:ascii="Times New Roman" w:hAnsi="Times New Roman" w:eastAsia="Times New Roman"/>
          <w:b w:val="0"/>
          <w:i w:val="0"/>
          <w:sz w:val="22"/>
        </w:rPr>
        <w:t>(13) Người có thẩm quyền giải quyết khiếu nại lần hai. Ví dụ: khiếu nại lần đầu do Chủ tịch Ủy ban nhân dân cấp xã hoặc Thủ trưởng cơ quan chuyên môn, tổ chức hành chính khác thuộc Ủy ban nhân dân Thành phố giải quyết thì người giải quyết lần hai là Chủ tịch Ủy ban nhân dân Thành phố Hồ Chí Minh.</w:t>
      </w:r>
    </w:p>
    <w:p>
      <w:pPr>
        <w:spacing w:before="0" w:after="0" w:lineRule="auto" w:line="312"/>
        <w:jc w:val="both"/>
      </w:pPr>
      <w:r>
        <w:rPr>
          <w:rFonts w:ascii="Times New Roman" w:hAnsi="Times New Roman" w:eastAsia="Times New Roman"/>
          <w:b w:val="0"/>
          <w:i w:val="0"/>
          <w:sz w:val="22"/>
        </w:rPr>
        <w:t>(14) Những người chịu trách nhiệm thi hành quyết định giải quyết khiếu nại và người khiếu nại; ghi rõ họ tên, chức vụ hoặc tên cơ quan, tổ chức, người đại diện, người được ủy quyền khiếu nại.</w:t>
      </w:r>
    </w:p>
    <w:p>
      <w:pPr>
        <w:spacing w:before="0" w:after="0" w:lineRule="auto" w:line="312"/>
        <w:jc w:val="both"/>
      </w:pPr>
      <w:r>
        <w:rPr>
          <w:rFonts w:ascii="Times New Roman" w:hAnsi="Times New Roman" w:eastAsia="Times New Roman"/>
          <w:b w:val="0"/>
          <w:i w:val="0"/>
          <w:sz w:val="22"/>
        </w:rPr>
        <w:t>(15) Thủ trưởng cơ quan, tổ chức, đơn vị cấp trên trực tiếp của người ban hành quyết định giải quyết khiếu nại. Ví dụ: "Ủy ban nhân dân Thành phố Hồ Chí Minh (để báo cáo)".</w:t>
      </w:r>
    </w:p>
    <w:p>
      <w:pPr>
        <w:spacing w:before="0" w:after="0" w:lineRule="auto" w:line="312"/>
        <w:jc w:val="both"/>
      </w:pPr>
      <w:r>
        <w:rPr>
          <w:rFonts w:ascii="Times New Roman" w:hAnsi="Times New Roman" w:eastAsia="Times New Roman"/>
          <w:b w:val="0"/>
          <w:i w:val="0"/>
          <w:sz w:val="22"/>
        </w:rPr>
        <w:t>(16) Người có quyền, nghĩa vụ liên quan; cơ quan, tổ chức, đơn vị, cá nhân có liên quan; cơ quan, tổ chức, cá nhân đã chuyển khiếu nại đến; người có thẩm quyền giải quyết khiếu nại lần hai.</w:t>
      </w:r>
    </w:p>
    <w:p>
      <w:pPr>
        <w:spacing w:before="0" w:after="0" w:lineRule="auto" w:line="312"/>
        <w:jc w:val="both"/>
      </w:pPr>
      <w:r>
        <w:rPr>
          <w:rFonts w:ascii="Times New Roman" w:hAnsi="Times New Roman" w:eastAsia="Times New Roman"/>
          <w:b w:val="0"/>
          <w:i w:val="0"/>
          <w:sz w:val="22"/>
        </w:rPr>
        <w:t>(17) Cơ quan thanh tra nhà nước cùng cấp. Ví dụ: "Thanh tra Thành phố Hồ Chí Minh"; trường hợp chính cơ quan thanh tra ban hành quyết định thì bỏ dòng này.</w:t>
      </w:r>
    </w:p>
    <w:p>
      <w:pPr>
        <w:spacing w:before="0" w:after="0" w:lineRule="auto" w:line="312"/>
        <w:jc w:val="both"/>
      </w:pPr>
      <w:r>
        <w:rPr>
          <w:rFonts w:ascii="Times New Roman" w:hAnsi="Times New Roman" w:eastAsia="Times New Roman"/>
          <w:b w:val="0"/>
          <w:i w:val="0"/>
          <w:sz w:val="22"/>
        </w:rPr>
        <w:t>(18) Chữ viết tắt tên phòng, đơn vị soạn thảo, tên viết tắt của người soạn thảo và số lượng bản phát hành. Ví dụ: "P1/TVB.12b".</w:t>
      </w:r>
    </w:p>
    <w:p>
      <w:pPr>
        <w:spacing w:before="0" w:after="0" w:lineRule="auto" w:line="312"/>
        <w:jc w:val="both"/>
      </w:pPr>
      <w:r>
        <w:rPr>
          <w:rFonts w:ascii="Times New Roman" w:hAnsi="Times New Roman" w:eastAsia="Times New Roman"/>
          <w:b w:val="0"/>
          <w:i w:val="0"/>
          <w:sz w:val="22"/>
        </w:rPr>
        <w:t>(19) Chức danh người ký quyết định, ghi thống nhất với chỉ số (3). Ví dụ: "CHÁNH THANH TRA".</w:t>
      </w:r>
    </w:p>
    <w:p>
      <w:pPr>
        <w:spacing w:before="0" w:after="0" w:lineRule="auto" w:line="312"/>
        <w:jc w:val="both"/>
      </w:pPr>
      <w:r>
        <w:rPr>
          <w:rFonts w:ascii="Times New Roman" w:hAnsi="Times New Roman" w:eastAsia="Times New Roman"/>
          <w:b w:val="0"/>
          <w:i w:val="0"/>
          <w:sz w:val="22"/>
        </w:rPr>
        <w:t>* Thời hạn giải quyết khiếu nại lần đầu không quá 30 ngày kể từ ngày thụ lý; vụ việc phức tạp không quá 45 ngày. Ở vùng sâu, vùng xa đi lại khó khăn thì không quá 45 ngày, vụ việc phức tạp không quá 60 ngày.</w:t>
      </w:r>
    </w:p>
    <w:p>
      <w:pPr>
        <w:spacing w:before="0" w:after="0" w:lineRule="auto" w:line="312"/>
        <w:jc w:val="both"/>
      </w:pPr>
      <w:r>
        <w:rPr>
          <w:rFonts w:ascii="Times New Roman" w:hAnsi="Times New Roman" w:eastAsia="Times New Roman"/>
          <w:b w:val="0"/>
          <w:i w:val="0"/>
          <w:sz w:val="22"/>
        </w:rPr>
        <w:t>* Trong thời hạn 03 ngày làm việc kể từ ngày ban hành, phải gửi quyết định cho người khiếu nại, thủ trưởng cấp trên trực tiếp của người giải quyết khiếu nại, người giải quyết khiếu nại lần hai, người có quyền, nghĩa vụ liên quan, cơ quan, tổ chức, cá nhân có liên quan và cơ quan thanh tra nhà nước cùng cấp.</w:t>
      </w:r>
    </w:p>
    <w:p>
      <w:pPr>
        <w:spacing w:before="0" w:after="0" w:lineRule="auto" w:line="312"/>
        <w:jc w:val="both"/>
      </w:pPr>
      <w:r>
        <w:rPr>
          <w:rFonts w:ascii="Times New Roman" w:hAnsi="Times New Roman" w:eastAsia="Times New Roman"/>
          <w:b w:val="0"/>
          <w:i w:val="0"/>
          <w:sz w:val="22"/>
        </w:rPr>
        <w:t>* Trong thời hạn 15 ngày kể từ khi có quyết định giải quyết khiếu nại, phải công khai quyết định theo một trong các hình thức: công bố tại cuộc họp cơ quan nơi người bị khiếu nại công tác, niêm yết tại trụ sở làm việc hoặc nơi tiếp công dân, thông báo trên phương tiện thông tin đại chúng.</w:t>
      </w:r>
    </w:p>
    <w:p>
      <w:pPr>
        <w:spacing w:before="0" w:after="0" w:lineRule="auto" w:line="312"/>
        <w:jc w:val="both"/>
      </w:pPr>
      <w:r>
        <w:rPr>
          <w:rFonts w:ascii="Times New Roman" w:hAnsi="Times New Roman" w:eastAsia="Times New Roman"/>
          <w:b w:val="0"/>
          <w:i w:val="0"/>
          <w:sz w:val="22"/>
        </w:rPr>
        <w:t>* Trường hợp quyết định do Chủ tịch Ủy ban nhân dân Thành phố Hồ Chí Minh ban hành thì sửa thể thức: phần tác giả văn bản ở góc trên bên trái chỉ ghi "ỦY BAN NHÂN DÂN THÀNH PHỐ HỒ CHÍ MINH" (bỏ dòng "THANH TRA THÀNH PHỐ"), ký hiệu văn bản ghi "Số: ……/QĐ-UBND", chức danh người ký ghi "CHỦ TỊCH"; Thanh tra Thành phố là cơ quan tham mưu nêu tại chỉ số (6).</w:t>
      </w:r>
    </w:p>
    <w:p>
      <w:pPr>
        <w:spacing w:before="0" w:after="0" w:lineRule="auto" w:line="312"/>
        <w:jc w:val="both"/>
      </w:pPr>
      <w:r>
        <w:rPr>
          <w:rFonts w:ascii="Times New Roman" w:hAnsi="Times New Roman" w:eastAsia="Times New Roman"/>
          <w:b w:val="0"/>
          <w:i w:val="0"/>
          <w:sz w:val="22"/>
        </w:rPr>
        <w:t>* Trường hợp nhiều người cùng khiếu nại về một nội dung thì ra quyết định giải quyết khiếu nại cho từng người hoặc ra một quyết định kèm theo danh sách những người khiếu nại.</w:t>
      </w:r>
    </w:p>
    <w:p>
      <w:pPr>
        <w:spacing w:before="0" w:after="0" w:lineRule="auto" w:line="312"/>
        <w:jc w:val="both"/>
      </w:pPr>
      <w:r>
        <w:rPr>
          <w:rFonts w:ascii="Times New Roman" w:hAnsi="Times New Roman" w:eastAsia="Times New Roman"/>
          <w:b w:val="0"/>
          <w:i w:val="0"/>
          <w:sz w:val="22"/>
        </w:rPr>
        <w:t>* Quyết định phải thể hiện rõ điều kiện thụ lý, tên và địa chỉ người khiếu nại, người bị khiếu nại theo Điều 31 Luật Khiếu nại và Điều 29 Nghị định số 124/2020/NĐ-CP; hồ sơ giải quyết khiếu nại phải được lập, quản lý theo quy định.</w:t>
      </w:r>
    </w:p>
    <w:p>
      <w:pPr>
        <w:spacing w:before="0" w:after="0" w:lineRule="auto" w:line="312"/>
        <w:jc w:val="both"/>
      </w:pPr>
      <w:r>
        <w:rPr>
          <w:rFonts w:ascii="Times New Roman" w:hAnsi="Times New Roman" w:eastAsia="Times New Roman"/>
          <w:b w:val="0"/>
          <w:i w:val="0"/>
          <w:sz w:val="22"/>
        </w:rPr>
        <w:t>* Căn cứ pháp lý: Điều 28, Điều 29, Điều 30, Điều 31, Điều 32, Điều 33 Luật Khiếu nại số 02/2011/QH13 đã được sửa đổi, bổ sung; Điều 29 Nghị định số 124/2020/NĐ-CP ngày 19 tháng 10 năm 2020 của Chính phủ, đã được sửa đổi, bổ sung theo Nghị định số 155/2026/NĐ-CP ngày 15 tháng 5 năm 2026 của Chính phủ (Mẫu số 15);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