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tblLayout w:type="fixed"/>
        <w:tblLook w:firstColumn="1" w:firstRow="1" w:lastColumn="0" w:lastRow="0" w:noHBand="0" w:noVBand="1" w:val="04A0"/>
        <w:tblBorders>
          <w:top w:val="none"/>
          <w:left w:val="none"/>
          <w:bottom w:val="none"/>
          <w:right w:val="none"/>
          <w:insideH w:val="none"/>
          <w:insideV w:val="none"/>
        </w:tblBorders>
      </w:tblPr>
      <w:tblGrid>
        <w:gridCol w:w="3628"/>
        <w:gridCol w:w="5726"/>
      </w:tblGrid>
      <w:tr>
        <w:tc>
          <w:tcPr>
            <w:tcW w:type="dxa" w:w="3628"/>
          </w:tcPr>
          <w:p>
            <w:pPr>
              <w:spacing w:before="0" w:after="0" w:lineRule="auto" w:line="276"/>
              <w:jc w:val="center"/>
            </w:pPr>
            <w:r>
              <w:rPr>
                <w:rFonts w:ascii="Times New Roman" w:hAnsi="Times New Roman" w:eastAsia="Times New Roman"/>
                <w:b w:val="0"/>
                <w:i w:val="0"/>
                <w:sz w:val="24"/>
              </w:rPr>
              <w:t>ỦY BAN NHÂN DÂN</w:t>
            </w:r>
          </w:p>
          <w:p>
            <w:pPr>
              <w:spacing w:before="0" w:after="0" w:lineRule="auto" w:line="276"/>
              <w:jc w:val="center"/>
            </w:pPr>
            <w:r>
              <w:rPr>
                <w:rFonts w:ascii="Times New Roman" w:hAnsi="Times New Roman" w:eastAsia="Times New Roman"/>
                <w:b w:val="0"/>
                <w:i w:val="0"/>
                <w:sz w:val="24"/>
              </w:rPr>
              <w:t>THÀNH PHỐ HỒ CHÍ MINH</w:t>
            </w:r>
          </w:p>
          <w:p>
            <w:pPr>
              <w:spacing w:before="0" w:after="0" w:lineRule="auto" w:line="276"/>
              <w:jc w:val="center"/>
            </w:pPr>
            <w:r>
              <w:rPr>
                <w:rFonts w:ascii="Times New Roman" w:hAnsi="Times New Roman" w:eastAsia="Times New Roman"/>
                <w:b/>
                <w:i w:val="0"/>
                <w:sz w:val="24"/>
              </w:rPr>
              <w:t>THANH TRA THÀNH PHỐ</w:t>
            </w:r>
          </w:p>
          <w:p>
            <w:pPr>
              <w:spacing w:before="0" w:after="0" w:lineRule="auto" w:line="276"/>
              <w:jc w:val="center"/>
            </w:pPr>
            <w:r>
              <w:rPr>
                <w:rFonts w:ascii="Times New Roman" w:hAnsi="Times New Roman" w:eastAsia="Times New Roman"/>
                <w:b w:val="0"/>
                <w:i w:val="0"/>
                <w:sz w:val="24"/>
              </w:rPr>
              <w:t>–––––––––</w:t>
            </w:r>
          </w:p>
          <w:p>
            <w:pPr>
              <w:spacing w:before="0" w:after="0" w:lineRule="auto" w:line="276"/>
              <w:jc w:val="center"/>
            </w:pPr>
            <w:r>
              <w:rPr>
                <w:rFonts w:ascii="Times New Roman" w:hAnsi="Times New Roman" w:eastAsia="Times New Roman"/>
                <w:b w:val="0"/>
                <w:i w:val="0"/>
                <w:sz w:val="24"/>
              </w:rPr>
              <w:t>Số: ……/QĐ-TTTP-……(1)</w:t>
            </w:r>
          </w:p>
        </w:tc>
        <w:tc>
          <w:tcPr>
            <w:tcW w:type="dxa" w:w="5726"/>
          </w:tcPr>
          <w:p>
            <w:pPr>
              <w:spacing w:before="0" w:after="0" w:lineRule="auto" w:line="276"/>
              <w:jc w:val="center"/>
            </w:pPr>
            <w:r>
              <w:rPr>
                <w:rFonts w:ascii="Times New Roman" w:hAnsi="Times New Roman" w:eastAsia="Times New Roman"/>
                <w:b/>
                <w:i w:val="0"/>
                <w:sz w:val="24"/>
              </w:rPr>
              <w:t>CỘNG HÒA XÃ HỘI CHỦ NGHĨA VIỆT NAM</w:t>
            </w:r>
          </w:p>
          <w:p>
            <w:pPr>
              <w:spacing w:before="0" w:after="0" w:lineRule="auto" w:line="276"/>
              <w:jc w:val="center"/>
            </w:pPr>
            <w:r>
              <w:rPr>
                <w:rFonts w:ascii="Times New Roman" w:hAnsi="Times New Roman" w:eastAsia="Times New Roman"/>
                <w:b/>
                <w:i w:val="0"/>
                <w:sz w:val="24"/>
              </w:rPr>
              <w:t>Độc lập - Tự do - Hạnh phúc</w:t>
            </w:r>
          </w:p>
          <w:p>
            <w:pPr>
              <w:spacing w:before="0" w:after="0" w:lineRule="auto" w:line="276"/>
              <w:jc w:val="center"/>
            </w:pPr>
            <w:r>
              <w:rPr>
                <w:rFonts w:ascii="Times New Roman" w:hAnsi="Times New Roman" w:eastAsia="Times New Roman"/>
                <w:b w:val="0"/>
                <w:i w:val="0"/>
                <w:sz w:val="24"/>
              </w:rPr>
              <w:t>–––––––––––––––––––––</w:t>
            </w:r>
          </w:p>
          <w:p>
            <w:pPr>
              <w:spacing w:before="0" w:after="0" w:lineRule="auto" w:line="276"/>
              <w:jc w:val="center"/>
            </w:pPr>
            <w:r>
              <w:rPr>
                <w:rFonts w:ascii="Times New Roman" w:hAnsi="Times New Roman" w:eastAsia="Times New Roman"/>
                <w:b w:val="0"/>
                <w:i w:val="0"/>
                <w:sz w:val="24"/>
              </w:rPr>
            </w:r>
          </w:p>
          <w:p>
            <w:pPr>
              <w:spacing w:before="0" w:after="0" w:lineRule="auto" w:line="276"/>
              <w:jc w:val="center"/>
            </w:pPr>
            <w:r>
              <w:rPr>
                <w:rFonts w:ascii="Times New Roman" w:hAnsi="Times New Roman" w:eastAsia="Times New Roman"/>
                <w:b w:val="0"/>
                <w:i/>
                <w:sz w:val="24"/>
              </w:rPr>
              <w:t>Thành phố Hồ Chí Minh, ngày …… tháng …… năm ……</w:t>
            </w:r>
          </w:p>
        </w:tc>
      </w:tr>
    </w:tbl>
    <w:p>
      <w:pPr>
        <w:spacing w:before="0" w:after="80" w:lineRule="auto" w:line="312"/>
        <w:jc w:val="left"/>
      </w:pPr>
      <w:r>
        <w:rPr>
          <w:rFonts w:ascii="Times New Roman" w:hAnsi="Times New Roman" w:eastAsia="Times New Roman"/>
          <w:b w:val="0"/>
          <w:i w:val="0"/>
          <w:sz w:val="26"/>
        </w:rPr>
      </w:r>
    </w:p>
    <w:p>
      <w:pPr>
        <w:spacing w:before="0" w:after="0" w:lineRule="auto" w:line="312"/>
        <w:jc w:val="center"/>
      </w:pPr>
      <w:r>
        <w:rPr>
          <w:rFonts w:ascii="Times New Roman" w:hAnsi="Times New Roman" w:eastAsia="Times New Roman"/>
          <w:b/>
          <w:i w:val="0"/>
          <w:sz w:val="28"/>
        </w:rPr>
        <w:t>QUYẾT ĐỊNH</w:t>
      </w:r>
    </w:p>
    <w:p>
      <w:pPr>
        <w:spacing w:before="0" w:after="0" w:lineRule="auto" w:line="312"/>
        <w:jc w:val="center"/>
      </w:pPr>
      <w:r>
        <w:rPr>
          <w:rFonts w:ascii="Times New Roman" w:hAnsi="Times New Roman" w:eastAsia="Times New Roman"/>
          <w:b/>
          <w:i w:val="0"/>
          <w:sz w:val="26"/>
        </w:rPr>
        <w:t>Về việc tiếp tục giải quyết khiếu nại</w:t>
      </w:r>
    </w:p>
    <w:p>
      <w:pPr>
        <w:spacing w:before="0" w:after="40" w:lineRule="auto" w:line="312"/>
        <w:jc w:val="left"/>
      </w:pPr>
      <w:r>
        <w:rPr>
          <w:rFonts w:ascii="Times New Roman" w:hAnsi="Times New Roman" w:eastAsia="Times New Roman"/>
          <w:b w:val="0"/>
          <w:i w:val="0"/>
          <w:sz w:val="26"/>
        </w:rPr>
      </w:r>
    </w:p>
    <w:p>
      <w:pPr>
        <w:spacing w:before="0" w:after="80" w:lineRule="auto" w:line="312"/>
        <w:jc w:val="center"/>
      </w:pPr>
      <w:r>
        <w:rPr>
          <w:rFonts w:ascii="Times New Roman" w:hAnsi="Times New Roman" w:eastAsia="Times New Roman"/>
          <w:b/>
          <w:i w:val="0"/>
          <w:sz w:val="26"/>
        </w:rPr>
        <w:t>………………………………………(2)</w:t>
      </w:r>
    </w:p>
    <w:p>
      <w:pPr>
        <w:spacing w:before="0" w:after="0" w:lineRule="auto" w:line="312"/>
        <w:ind w:firstLine="567"/>
        <w:jc w:val="both"/>
      </w:pPr>
      <w:r>
        <w:rPr>
          <w:rFonts w:ascii="Times New Roman" w:hAnsi="Times New Roman" w:eastAsia="Times New Roman"/>
          <w:b w:val="0"/>
          <w:i w:val="0"/>
          <w:sz w:val="26"/>
        </w:rPr>
        <w:t>Căn cứ Luật Khiếu nại số 02/2011/QH13 đã được sửa đổi, bổ sung một số điều theo Luật số 42/2013/QH13, Luật số 81/2025/QH15, Luật số 84/2025/QH15 và Luật số 136/2025/QH15;</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val="0"/>
          <w:i w:val="0"/>
          <w:sz w:val="26"/>
        </w:rPr>
        <w:t>Căn cứ Nghị định số 124/2020/NĐ-CP ngày 19 tháng 10 năm 2020 của Chính phủ quy định chi tiết một số điều và biện pháp thi hành Luật Khiếu nại, đã được sửa đổi, bổ sung theo Nghị định số 155/2026/NĐ-CP ngày 15 tháng 5 năm 2026 của Chính phủ;</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left"/>
      </w:pPr>
      <w:r>
        <w:rPr>
          <w:rFonts w:ascii="Times New Roman" w:hAnsi="Times New Roman" w:eastAsia="Times New Roman"/>
          <w:b w:val="0"/>
          <w:i w:val="0"/>
          <w:sz w:val="26"/>
        </w:rPr>
        <w:t>Căn cứ ………………………………………………………………………(3);</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val="0"/>
          <w:i w:val="0"/>
          <w:sz w:val="26"/>
        </w:rPr>
        <w:t>Xét thấy căn cứ tạm đình chỉ việc giải quyết khiếu nại nêu tại Quyết định số ………………(4) không còn, do ………………(5);</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val="0"/>
          <w:i w:val="0"/>
          <w:sz w:val="26"/>
        </w:rPr>
        <w:t>Theo đề nghị của ………………(6) tại Văn bản số …… ngày …… tháng …… năm ……… (nếu có),</w:t>
      </w:r>
    </w:p>
    <w:p>
      <w:pPr>
        <w:spacing w:before="0" w:after="0" w:lineRule="auto" w:line="312"/>
        <w:jc w:val="center"/>
      </w:pPr>
      <w:r>
        <w:rPr>
          <w:rFonts w:ascii="Times New Roman" w:hAnsi="Times New Roman" w:eastAsia="Times New Roman"/>
          <w:b/>
          <w:i w:val="0"/>
          <w:sz w:val="26"/>
        </w:rPr>
        <w:t>QUYẾT ĐỊNH:</w:t>
      </w:r>
    </w:p>
    <w:p>
      <w:pPr>
        <w:spacing w:before="0" w:after="0" w:lineRule="auto" w:line="312"/>
        <w:ind w:firstLine="567"/>
        <w:jc w:val="both"/>
      </w:pPr>
      <w:r>
        <w:rPr>
          <w:rFonts w:ascii="Times New Roman" w:hAnsi="Times New Roman" w:eastAsia="Times New Roman"/>
          <w:b/>
          <w:i w:val="0"/>
          <w:sz w:val="26"/>
        </w:rPr>
        <w:t>Điều 1. Tiếp tục giải quyết khiếu nại của ………………(7), địa chỉ: ………………, đối với ………………(8), đã được thụ lý tại Thông báo về việc thụ lý giải quyết khiếu nại số ………………(9) và đã tạm đình chỉ giải quyết tại Quyết định số ………………(4).</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val="0"/>
          <w:i w:val="0"/>
          <w:sz w:val="26"/>
        </w:rPr>
        <w:t>Thời hạn giải quyết khiếu nại được tiếp tục tính từ ngày ban hành Quyết định này; thời gian tạm đình chỉ không được tính vào thời hạn giải quyết khiếu nại. Thời hạn còn lại để giải quyết vụ việc là ……… ngày, đến hết ngày …… tháng …… năm ………(10).</w:t>
      </w:r>
    </w:p>
    <w:p>
      <w:pPr>
        <w:spacing w:before="0" w:after="0" w:lineRule="auto" w:line="312"/>
        <w:ind w:firstLine="567"/>
        <w:jc w:val="both"/>
      </w:pPr>
      <w:r>
        <w:rPr>
          <w:rFonts w:ascii="Times New Roman" w:hAnsi="Times New Roman" w:eastAsia="Times New Roman"/>
          <w:b/>
          <w:i w:val="0"/>
          <w:sz w:val="26"/>
        </w:rPr>
        <w:t>Điều 2. Quyết định này có hiệu lực thi hành kể từ ngày ký.</w:t>
      </w:r>
    </w:p>
    <w:p>
      <w:pPr>
        <w:spacing w:before="0" w:after="0" w:lineRule="auto" w:line="312"/>
        <w:ind w:firstLine="567"/>
        <w:jc w:val="both"/>
      </w:pPr>
      <w:r>
        <w:rPr>
          <w:rFonts w:ascii="Times New Roman" w:hAnsi="Times New Roman" w:eastAsia="Times New Roman"/>
          <w:b/>
          <w:i w:val="0"/>
          <w:sz w:val="26"/>
        </w:rPr>
        <w:t>Điều 3. ……………………(11) chịu trách nhiệm thi hành Quyết định này./.</w:t>
      </w:r>
    </w:p>
    <w:p>
      <w:pPr>
        <w:spacing w:before="0" w:after="80" w:lineRule="auto" w:line="312"/>
        <w:jc w:val="left"/>
      </w:pPr>
      <w:r>
        <w:rPr>
          <w:rFonts w:ascii="Times New Roman" w:hAnsi="Times New Roman" w:eastAsia="Times New Roman"/>
          <w:b w:val="0"/>
          <w:i w:val="0"/>
          <w:sz w:val="26"/>
        </w:rPr>
      </w:r>
    </w:p>
    <w:tbl>
      <w:tblPr>
        <w:tblW w:type="auto" w:w="0"/>
        <w:tblLayout w:type="fixed"/>
        <w:tblLook w:firstColumn="1" w:firstRow="1" w:lastColumn="0" w:lastRow="0" w:noHBand="0" w:noVBand="1" w:val="04A0"/>
        <w:tblBorders>
          <w:top w:val="none"/>
          <w:left w:val="none"/>
          <w:bottom w:val="none"/>
          <w:right w:val="none"/>
          <w:insideH w:val="none"/>
          <w:insideV w:val="none"/>
        </w:tblBorders>
      </w:tblPr>
      <w:tblGrid>
        <w:gridCol w:w="4535"/>
        <w:gridCol w:w="4819"/>
      </w:tblGrid>
      <w:tr>
        <w:tc>
          <w:tcPr>
            <w:tcW w:type="dxa" w:w="4535"/>
          </w:tcPr>
          <w:p>
            <w:pPr>
              <w:spacing w:before="0" w:after="0" w:lineRule="auto" w:line="276"/>
              <w:jc w:val="left"/>
            </w:pPr>
            <w:r>
              <w:rPr>
                <w:rFonts w:ascii="Times New Roman" w:hAnsi="Times New Roman" w:eastAsia="Times New Roman"/>
                <w:b w:val="0"/>
                <w:i/>
                <w:sz w:val="22"/>
              </w:rPr>
              <w:t>Nơi nhận:</w:t>
            </w:r>
          </w:p>
          <w:p>
            <w:pPr>
              <w:spacing w:before="0" w:after="0" w:lineRule="auto" w:line="276"/>
              <w:jc w:val="left"/>
            </w:pPr>
            <w:r>
              <w:rPr>
                <w:rFonts w:ascii="Times New Roman" w:hAnsi="Times New Roman" w:eastAsia="Times New Roman"/>
                <w:b w:val="0"/>
                <w:i w:val="0"/>
                <w:sz w:val="22"/>
              </w:rPr>
              <w:t>- Như Điều 3;</w:t>
            </w:r>
          </w:p>
          <w:p>
            <w:pPr>
              <w:spacing w:before="0" w:after="0" w:lineRule="auto" w:line="276"/>
              <w:jc w:val="left"/>
            </w:pPr>
            <w:r>
              <w:rPr>
                <w:rFonts w:ascii="Times New Roman" w:hAnsi="Times New Roman" w:eastAsia="Times New Roman"/>
                <w:b w:val="0"/>
                <w:i w:val="0"/>
                <w:sz w:val="22"/>
              </w:rPr>
              <w:t>- Người khiếu nại, người đại diện người khiếu nại;</w:t>
            </w:r>
          </w:p>
          <w:p>
            <w:pPr>
              <w:spacing w:before="0" w:after="0" w:lineRule="auto" w:line="276"/>
              <w:jc w:val="left"/>
            </w:pPr>
            <w:r>
              <w:rPr>
                <w:rFonts w:ascii="Times New Roman" w:hAnsi="Times New Roman" w:eastAsia="Times New Roman"/>
                <w:b w:val="0"/>
                <w:i w:val="0"/>
                <w:sz w:val="22"/>
              </w:rPr>
              <w:t>- Người bị khiếu nại;</w:t>
            </w:r>
          </w:p>
          <w:p>
            <w:pPr>
              <w:spacing w:before="0" w:after="0" w:lineRule="auto" w:line="276"/>
              <w:jc w:val="left"/>
            </w:pPr>
            <w:r>
              <w:rPr>
                <w:rFonts w:ascii="Times New Roman" w:hAnsi="Times New Roman" w:eastAsia="Times New Roman"/>
                <w:b w:val="0"/>
                <w:i w:val="0"/>
                <w:sz w:val="22"/>
              </w:rPr>
              <w:t>- Người có quyền, nghĩa vụ liên quan;</w:t>
            </w:r>
          </w:p>
          <w:p>
            <w:pPr>
              <w:spacing w:before="0" w:after="0" w:lineRule="auto" w:line="276"/>
              <w:jc w:val="left"/>
            </w:pPr>
            <w:r>
              <w:rPr>
                <w:rFonts w:ascii="Times New Roman" w:hAnsi="Times New Roman" w:eastAsia="Times New Roman"/>
                <w:b w:val="0"/>
                <w:i w:val="0"/>
                <w:sz w:val="22"/>
              </w:rPr>
              <w:t>- ……(12);</w:t>
            </w:r>
          </w:p>
          <w:p>
            <w:pPr>
              <w:spacing w:before="0" w:after="0" w:lineRule="auto" w:line="276"/>
              <w:jc w:val="left"/>
            </w:pPr>
            <w:r>
              <w:rPr>
                <w:rFonts w:ascii="Times New Roman" w:hAnsi="Times New Roman" w:eastAsia="Times New Roman"/>
                <w:b w:val="0"/>
                <w:i w:val="0"/>
                <w:sz w:val="22"/>
              </w:rPr>
              <w:t>- Lưu: VT, hồ sơ, ……(13).</w:t>
            </w:r>
          </w:p>
        </w:tc>
        <w:tc>
          <w:tcPr>
            <w:tcW w:type="dxa" w:w="4819"/>
          </w:tcPr>
          <w:p>
            <w:pPr>
              <w:spacing w:before="0" w:after="0" w:lineRule="auto" w:line="276"/>
              <w:jc w:val="center"/>
            </w:pPr>
            <w:r>
              <w:rPr>
                <w:rFonts w:ascii="Times New Roman" w:hAnsi="Times New Roman" w:eastAsia="Times New Roman"/>
                <w:b/>
                <w:i w:val="0"/>
                <w:sz w:val="26"/>
              </w:rPr>
              <w:t>………………………(14)</w:t>
            </w:r>
          </w:p>
          <w:p>
            <w:pPr>
              <w:spacing w:before="0" w:after="0" w:lineRule="auto" w:line="276"/>
              <w:jc w:val="center"/>
            </w:pPr>
            <w:r>
              <w:rPr>
                <w:rFonts w:ascii="Times New Roman" w:hAnsi="Times New Roman" w:eastAsia="Times New Roman"/>
                <w:b w:val="0"/>
                <w:i/>
                <w:sz w:val="26"/>
              </w:rPr>
              <w:t>(Chữ ký, dấu)</w:t>
            </w:r>
          </w:p>
          <w:p>
            <w:pPr>
              <w:spacing w:before="0" w:after="0" w:lineRule="auto" w:line="276"/>
              <w:jc w:val="center"/>
            </w:pPr>
            <w:r>
              <w:rPr>
                <w:rFonts w:ascii="Times New Roman" w:hAnsi="Times New Roman" w:eastAsia="Times New Roman"/>
                <w:b w:val="0"/>
                <w:i w:val="0"/>
                <w:sz w:val="26"/>
              </w:rPr>
              <w:t>Họ và tên</w:t>
            </w:r>
          </w:p>
        </w:tc>
      </w:tr>
    </w:tbl>
    <w:p>
      <w:pPr>
        <w:spacing w:before="0" w:after="80" w:lineRule="auto" w:line="312"/>
        <w:jc w:val="left"/>
      </w:pPr>
      <w:r>
        <w:rPr>
          <w:rFonts w:ascii="Times New Roman" w:hAnsi="Times New Roman" w:eastAsia="Times New Roman"/>
          <w:b w:val="0"/>
          <w:i w:val="0"/>
          <w:sz w:val="26"/>
        </w:rPr>
      </w:r>
    </w:p>
    <w:p>
      <w:pPr>
        <w:spacing w:before="120" w:after="40" w:lineRule="auto" w:line="312"/>
        <w:jc w:val="left"/>
      </w:pPr>
      <w:r>
        <w:rPr>
          <w:rFonts w:ascii="Times New Roman" w:hAnsi="Times New Roman" w:eastAsia="Times New Roman"/>
          <w:b w:val="0"/>
          <w:i/>
          <w:sz w:val="22"/>
        </w:rPr>
        <w:t>Ghi chú:</w:t>
      </w:r>
    </w:p>
    <w:p>
      <w:pPr>
        <w:spacing w:before="0" w:after="0" w:lineRule="auto" w:line="312"/>
        <w:jc w:val="both"/>
      </w:pPr>
      <w:r>
        <w:rPr>
          <w:rFonts w:ascii="Times New Roman" w:hAnsi="Times New Roman" w:eastAsia="Times New Roman"/>
          <w:b w:val="0"/>
          <w:i w:val="0"/>
          <w:sz w:val="22"/>
        </w:rPr>
        <w:t>(1) Chữ viết tắt tên phòng, đơn vị tham mưu ban hành quyết định. Ví dụ: "Số: 105/QĐ-TTTP-P1".</w:t>
      </w:r>
    </w:p>
    <w:p>
      <w:pPr>
        <w:spacing w:before="0" w:after="0" w:lineRule="auto" w:line="312"/>
        <w:jc w:val="both"/>
      </w:pPr>
      <w:r>
        <w:rPr>
          <w:rFonts w:ascii="Times New Roman" w:hAnsi="Times New Roman" w:eastAsia="Times New Roman"/>
          <w:b w:val="0"/>
          <w:i w:val="0"/>
          <w:sz w:val="22"/>
        </w:rPr>
        <w:t>(2) Chức danh người có thẩm quyền giải quyết khiếu nại ban hành quyết định, là người đã ban hành quyết định tạm đình chỉ giải quyết khiếu nại. Ví dụ: "CHÁNH THANH TRA THÀNH PHỐ HỒ CHÍ MINH"; trường hợp người giải quyết khiếu nại là Chủ tịch Ủy ban nhân dân Thành phố thì ghi "CHỦ TỊCH ỦY BAN NHÂN DÂN THÀNH PHỐ HỒ CHÍ MINH" và sửa lại thể thức cơ quan ban hành, ký hiệu văn bản cho phù hợp.</w:t>
      </w:r>
    </w:p>
    <w:p>
      <w:pPr>
        <w:spacing w:before="0" w:after="0" w:lineRule="auto" w:line="312"/>
        <w:jc w:val="both"/>
      </w:pPr>
      <w:r>
        <w:rPr>
          <w:rFonts w:ascii="Times New Roman" w:hAnsi="Times New Roman" w:eastAsia="Times New Roman"/>
          <w:b w:val="0"/>
          <w:i w:val="0"/>
          <w:sz w:val="22"/>
        </w:rPr>
        <w:t>(3) Văn bản quy định chức năng, nhiệm vụ, quyền hạn và cơ cấu tổ chức của cơ quan ban hành quyết định.</w:t>
      </w:r>
    </w:p>
    <w:p>
      <w:pPr>
        <w:spacing w:before="0" w:after="0" w:lineRule="auto" w:line="312"/>
        <w:jc w:val="both"/>
      </w:pPr>
      <w:r>
        <w:rPr>
          <w:rFonts w:ascii="Times New Roman" w:hAnsi="Times New Roman" w:eastAsia="Times New Roman"/>
          <w:b w:val="0"/>
          <w:i w:val="0"/>
          <w:sz w:val="22"/>
        </w:rPr>
        <w:t>(4) Số, ký hiệu, ngày tháng năm của quyết định tạm đình chỉ giải quyết khiếu nại đã ban hành theo Mẫu KN-15. Ví dụ: "số 96/QĐ-TTTP ngày 12/8/2026 của Chánh Thanh tra Thành phố Hồ Chí Minh".</w:t>
      </w:r>
    </w:p>
    <w:p>
      <w:pPr>
        <w:spacing w:before="0" w:after="0" w:lineRule="auto" w:line="312"/>
        <w:jc w:val="both"/>
      </w:pPr>
      <w:r>
        <w:rPr>
          <w:rFonts w:ascii="Times New Roman" w:hAnsi="Times New Roman" w:eastAsia="Times New Roman"/>
          <w:b w:val="0"/>
          <w:i w:val="0"/>
          <w:sz w:val="22"/>
        </w:rPr>
        <w:t>(5) Lý do, tài liệu chứng minh căn cứ tạm đình chỉ không còn. Ví dụ: "người khiếu nại đã điều trị xong và có văn bản đề nghị tiếp tục giải quyết ngày 20/9/2026"; "đã nhận được Văn bản số … ngày … của … trả lời về vấn đề có liên quan trực tiếp đến nội dung khiếu nại".</w:t>
      </w:r>
    </w:p>
    <w:p>
      <w:pPr>
        <w:spacing w:before="0" w:after="0" w:lineRule="auto" w:line="312"/>
        <w:jc w:val="both"/>
      </w:pPr>
      <w:r>
        <w:rPr>
          <w:rFonts w:ascii="Times New Roman" w:hAnsi="Times New Roman" w:eastAsia="Times New Roman"/>
          <w:b w:val="0"/>
          <w:i w:val="0"/>
          <w:sz w:val="22"/>
        </w:rPr>
        <w:t>(6) Tên cơ quan, đơn vị hoặc họ tên, chức vụ cá nhân tham mưu, đề xuất ban hành quyết định. Ví dụ: "Trưởng Phòng Nghiệp vụ 1".</w:t>
      </w:r>
    </w:p>
    <w:p>
      <w:pPr>
        <w:spacing w:before="0" w:after="0" w:lineRule="auto" w:line="312"/>
        <w:jc w:val="both"/>
      </w:pPr>
      <w:r>
        <w:rPr>
          <w:rFonts w:ascii="Times New Roman" w:hAnsi="Times New Roman" w:eastAsia="Times New Roman"/>
          <w:b w:val="0"/>
          <w:i w:val="0"/>
          <w:sz w:val="22"/>
        </w:rPr>
        <w:t>(7) Họ và tên người khiếu nại; trường hợp cơ quan, tổ chức khiếu nại thì ghi tên cơ quan, tổ chức và người đại diện, người được ủy quyền; nhiều người cùng khiếu nại về một nội dung thì ghi người đại diện kèm tổng số người.</w:t>
      </w:r>
    </w:p>
    <w:p>
      <w:pPr>
        <w:spacing w:before="0" w:after="0" w:lineRule="auto" w:line="312"/>
        <w:jc w:val="both"/>
      </w:pPr>
      <w:r>
        <w:rPr>
          <w:rFonts w:ascii="Times New Roman" w:hAnsi="Times New Roman" w:eastAsia="Times New Roman"/>
          <w:b w:val="0"/>
          <w:i w:val="0"/>
          <w:sz w:val="22"/>
        </w:rPr>
        <w:t>(8) Quyết định hành chính, hành vi hành chính hoặc quyết định kỷ luật cán bộ, công chức bị khiếu nại. Ví dụ: "Quyết định số 456/QĐ-UBND ngày 12/3/2026 của Chủ tịch Ủy ban nhân dân Phường Xuân Hòa".</w:t>
      </w:r>
    </w:p>
    <w:p>
      <w:pPr>
        <w:spacing w:before="0" w:after="0" w:lineRule="auto" w:line="312"/>
        <w:jc w:val="both"/>
      </w:pPr>
      <w:r>
        <w:rPr>
          <w:rFonts w:ascii="Times New Roman" w:hAnsi="Times New Roman" w:eastAsia="Times New Roman"/>
          <w:b w:val="0"/>
          <w:i w:val="0"/>
          <w:sz w:val="22"/>
        </w:rPr>
        <w:t>(9) Số, ký hiệu, ngày tháng năm của thông báo về việc thụ lý giải quyết khiếu nại và người ký thông báo.</w:t>
      </w:r>
    </w:p>
    <w:p>
      <w:pPr>
        <w:spacing w:before="0" w:after="0" w:lineRule="auto" w:line="312"/>
        <w:jc w:val="both"/>
      </w:pPr>
      <w:r>
        <w:rPr>
          <w:rFonts w:ascii="Times New Roman" w:hAnsi="Times New Roman" w:eastAsia="Times New Roman"/>
          <w:b w:val="0"/>
          <w:i w:val="0"/>
          <w:sz w:val="22"/>
        </w:rPr>
        <w:t>(10) Số ngày còn lại của thời hạn giải quyết khiếu nại và ngày hết thời hạn, tính bằng cách lấy thời hạn luật định trừ đi số ngày đã sử dụng trước khi tạm đình chỉ, không cộng thời gian tạm đình chỉ. Ví dụ: khiếu nại lần đầu thời hạn 30 ngày, đã sử dụng 12 ngày trước khi tạm đình chỉ thì thời hạn còn lại là 18 ngày kể từ ngày ban hành Quyết định này.</w:t>
      </w:r>
    </w:p>
    <w:p>
      <w:pPr>
        <w:spacing w:before="0" w:after="0" w:lineRule="auto" w:line="312"/>
        <w:jc w:val="both"/>
      </w:pPr>
      <w:r>
        <w:rPr>
          <w:rFonts w:ascii="Times New Roman" w:hAnsi="Times New Roman" w:eastAsia="Times New Roman"/>
          <w:b w:val="0"/>
          <w:i w:val="0"/>
          <w:sz w:val="22"/>
        </w:rPr>
        <w:t>(11) Người khiếu nại, người đại diện người khiếu nại, người bị khiếu nại, người có quyền, nghĩa vụ liên quan và cơ quan, tổ chức, cá nhân có trách nhiệm thi hành Quyết định này.</w:t>
      </w:r>
    </w:p>
    <w:p>
      <w:pPr>
        <w:spacing w:before="0" w:after="0" w:lineRule="auto" w:line="312"/>
        <w:jc w:val="both"/>
      </w:pPr>
      <w:r>
        <w:rPr>
          <w:rFonts w:ascii="Times New Roman" w:hAnsi="Times New Roman" w:eastAsia="Times New Roman"/>
          <w:b w:val="0"/>
          <w:i w:val="0"/>
          <w:sz w:val="22"/>
        </w:rPr>
        <w:t>(12) Cơ quan, tổ chức, đơn vị, cá nhân khác cần gửi để biết, theo dõi (nếu có). Ví dụ: "Ủy ban nhân dân Thành phố Hồ Chí Minh (để báo cáo)"; "Ban Tiếp công dân Thành phố (để cập nhật cơ sở dữ liệu)".</w:t>
      </w:r>
    </w:p>
    <w:p>
      <w:pPr>
        <w:spacing w:before="0" w:after="0" w:lineRule="auto" w:line="312"/>
        <w:jc w:val="both"/>
      </w:pPr>
      <w:r>
        <w:rPr>
          <w:rFonts w:ascii="Times New Roman" w:hAnsi="Times New Roman" w:eastAsia="Times New Roman"/>
          <w:b w:val="0"/>
          <w:i w:val="0"/>
          <w:sz w:val="22"/>
        </w:rPr>
        <w:t>(13) Chữ viết tắt tên phòng, đơn vị soạn thảo, tên viết tắt của người soạn thảo và số lượng bản phát hành. Ví dụ: "P1/TVB.10b".</w:t>
      </w:r>
    </w:p>
    <w:p>
      <w:pPr>
        <w:spacing w:before="0" w:after="0" w:lineRule="auto" w:line="312"/>
        <w:jc w:val="both"/>
      </w:pPr>
      <w:r>
        <w:rPr>
          <w:rFonts w:ascii="Times New Roman" w:hAnsi="Times New Roman" w:eastAsia="Times New Roman"/>
          <w:b w:val="0"/>
          <w:i w:val="0"/>
          <w:sz w:val="22"/>
        </w:rPr>
        <w:t>(14) Chức danh người ký quyết định, ghi thống nhất với chỉ số (2). Ví dụ: "CHÁNH THANH TRA".</w:t>
      </w:r>
    </w:p>
    <w:p>
      <w:pPr>
        <w:spacing w:before="0" w:after="0" w:lineRule="auto" w:line="312"/>
        <w:jc w:val="both"/>
      </w:pPr>
      <w:r>
        <w:rPr>
          <w:rFonts w:ascii="Times New Roman" w:hAnsi="Times New Roman" w:eastAsia="Times New Roman"/>
          <w:b w:val="0"/>
          <w:i w:val="0"/>
          <w:sz w:val="22"/>
        </w:rPr>
        <w:t>* Biểu mẫu này CHỈ dùng khi căn cứ TẠM ĐÌNH CHỈ việc giải quyết khiếu nại không còn. Trường hợp đã ĐÌNH CHỈ giải quyết khiếu nại thì vụ việc kết thúc, không ban hành quyết định tiếp tục giải quyết.</w:t>
      </w:r>
    </w:p>
    <w:p>
      <w:pPr>
        <w:spacing w:before="0" w:after="0" w:lineRule="auto" w:line="312"/>
        <w:jc w:val="both"/>
      </w:pPr>
      <w:r>
        <w:rPr>
          <w:rFonts w:ascii="Times New Roman" w:hAnsi="Times New Roman" w:eastAsia="Times New Roman"/>
          <w:b w:val="0"/>
          <w:i w:val="0"/>
          <w:sz w:val="22"/>
        </w:rPr>
        <w:t>* Không nhầm với quyết định hủy bỏ quyết định tạm đình chỉ việc thi hành quyết định hành chính bị khiếu nại theo Điều 35 Luật Khiếu nại (Mẫu KN-12) — đó là hai chế định khác nhau.</w:t>
      </w:r>
    </w:p>
    <w:p>
      <w:pPr>
        <w:spacing w:before="0" w:after="0" w:lineRule="auto" w:line="312"/>
        <w:jc w:val="both"/>
      </w:pPr>
      <w:r>
        <w:rPr>
          <w:rFonts w:ascii="Times New Roman" w:hAnsi="Times New Roman" w:eastAsia="Times New Roman"/>
          <w:b w:val="0"/>
          <w:i w:val="0"/>
          <w:sz w:val="22"/>
        </w:rPr>
        <w:t>* Khi căn cứ tạm đình chỉ không còn thì phải ban hành ngay quyết định tiếp tục giải quyết khiếu nại và gửi cho người khiếu nại, người đại diện người khiếu nại, người bị khiếu nại, người có quyền, nghĩa vụ liên quan trong thời hạn 03 ngày làm việc kể từ ngày ban hành.</w:t>
      </w:r>
    </w:p>
    <w:p>
      <w:pPr>
        <w:spacing w:before="0" w:after="0" w:lineRule="auto" w:line="312"/>
        <w:jc w:val="both"/>
      </w:pPr>
      <w:r>
        <w:rPr>
          <w:rFonts w:ascii="Times New Roman" w:hAnsi="Times New Roman" w:eastAsia="Times New Roman"/>
          <w:b w:val="0"/>
          <w:i w:val="0"/>
          <w:sz w:val="22"/>
        </w:rPr>
        <w:t>* Thời hạn giải quyết khiếu nại được tiếp tục tính từ ngày ban hành quyết định tiếp tục giải quyết khiếu nại; phải rà soát lại kế hoạch xác minh, đối thoại để bảo đảm ban hành quyết định giải quyết khiếu nại đúng hạn.</w:t>
      </w:r>
    </w:p>
    <w:p>
      <w:pPr>
        <w:spacing w:before="0" w:after="0" w:lineRule="auto" w:line="312"/>
        <w:jc w:val="both"/>
      </w:pPr>
      <w:r>
        <w:rPr>
          <w:rFonts w:ascii="Times New Roman" w:hAnsi="Times New Roman" w:eastAsia="Times New Roman"/>
          <w:b w:val="0"/>
          <w:i w:val="0"/>
          <w:sz w:val="22"/>
        </w:rPr>
        <w:t>* Hồ sơ vụ việc phải lưu đầy đủ quyết định tạm đình chỉ, tài liệu chứng minh căn cứ tạm đình chỉ đã chấm dứt và quyết định tiếp tục giải quyết khiếu nại.</w:t>
      </w:r>
    </w:p>
    <w:p>
      <w:pPr>
        <w:spacing w:before="0" w:after="0" w:lineRule="auto" w:line="312"/>
        <w:jc w:val="both"/>
      </w:pPr>
      <w:r>
        <w:rPr>
          <w:rFonts w:ascii="Times New Roman" w:hAnsi="Times New Roman" w:eastAsia="Times New Roman"/>
          <w:b w:val="0"/>
          <w:i w:val="0"/>
          <w:sz w:val="22"/>
        </w:rPr>
        <w:t>* Cơ quan, tổ chức, đơn vị khác khi sử dụng biểu mẫu này phải sửa lại phần tên cơ quan ban hành ở góc trên bên trái, ký hiệu văn bản và chức danh người ký cho phù hợp với cơ quan mình.</w:t>
      </w:r>
    </w:p>
    <w:p>
      <w:pPr>
        <w:spacing w:before="0" w:after="0" w:lineRule="auto" w:line="312"/>
        <w:jc w:val="both"/>
      </w:pPr>
      <w:r>
        <w:rPr>
          <w:rFonts w:ascii="Times New Roman" w:hAnsi="Times New Roman" w:eastAsia="Times New Roman"/>
          <w:b w:val="0"/>
          <w:i w:val="0"/>
          <w:sz w:val="22"/>
        </w:rPr>
        <w:t>* Căn cứ pháp lý: khoản 4 Điều 11a Luật Khiếu nại số 02/2011/QH13 (bổ sung theo khoản 4 Điều 2 Luật số 136/2025/QH15); khoản 2 Điều 28b Nghị định số 124/2020/NĐ-CP ngày 19 tháng 10 năm 2020 của Chính phủ (bổ sung theo Điều 12 Nghị định số 155/2026/NĐ-CP ngày 15 tháng 5 năm 2026 của Chính phủ, Mẫu số 14b); Nghị định số 30/2020/NĐ-CP ngày 05 tháng 3 năm 2020 của Chính phủ về công tác văn thư.</w:t>
      </w:r>
    </w:p>
    <w:sectPr w:rsidR="00FC693F" w:rsidRPr="0006063C" w:rsidSect="00034616">
      <w:pgSz w:w="11906" w:h="16838"/>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before="0" w:lineRule="auto" w:line="312"/>
    </w:pPr>
    <w:rPr>
      <w:rFonts w:ascii="Times New Roman" w:hAnsi="Times New Roman" w:eastAsia="Times New Roman"/>
      <w:sz w:val="26"/>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