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……/BB-TTTP-……(1)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BIÊN BẢN ĐỐI THOẠI VỚI NGƯỜI KHIẾU NẠI</w:t>
      </w:r>
    </w:p>
    <w:p>
      <w:pPr>
        <w:spacing w:before="0" w:after="0" w:lineRule="auto" w:line="312"/>
        <w:jc w:val="center"/>
      </w:pPr>
      <w:r>
        <w:rPr>
          <w:rFonts w:ascii="Times New Roman" w:hAnsi="Times New Roman" w:eastAsia="Times New Roman"/>
          <w:b/>
          <w:i w:val="0"/>
          <w:sz w:val="26"/>
        </w:rPr>
        <w:t>–––––––––</w:t>
      </w:r>
    </w:p>
    <w:p>
      <w:pPr>
        <w:spacing w:before="0" w:after="4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Vào hồi …… giờ …… phút, ngày …… tháng …… năm ………, tại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Tiến hành đối thoại trong quá trình giải quyết khiếu nại ………………(3) đối với khiếu nại của ………………(4) về ………………(5), đã được thụ lý tại Thông báo về việc thụ lý giải quyết khiếu nại số ………………(6).</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 THÀNH PHẦN THAM GIA ĐỐI THOẠI</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1. Người giải quyết khiếu nại, người được phân công chủ trì đối thoại</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Ông (bà): ………………, chức vụ: ………………, cơ quan (tổ chức, đơn vị): ………………(7).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2. Người ghi biên bản</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Ông (bà): ………………, chức vụ: ………………, cơ quan (tổ chức, đơn vị):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3. Người khiếu nại (hoặc người đại diện, người được ủy quyền của người khiếu nại)</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Ông (bà): ………………, chức vụ: ………………, cơ quan (tổ chức): ………………(8);</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Số căn cước hoặc giấy chứng nhận căn cước hoặc số định danh cá nhân hoặc số hộ chiếu: ………………, ngày cấp: ……/……/………, nơi cấp: ………………;</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Địa chỉ: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4. Người bị khiếu nại (hoặc người đại diện, người được ủy quyền của người bị khiếu nại (nếu có))</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Ông (bà): ………………, chức vụ: ………………, cơ quan (tổ chức, đơn vị): ………………(9).</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5. Người có quyền, nghĩa vụ liên quan (nếu có)</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Ông (bà): ………………………………………………………………………;</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Số căn cước hoặc giấy chứng nhận căn cước hoặc số định danh cá nhân hoặc số hộ chiếu: ………………, ngày cấp: ……/……/………, nơi cấp: ………………;</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Địa chỉ: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6. Đại diện cơ quan, tổ chức, cá nhân có liên quan (nếu có)</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Ông (bà): ………………, chức vụ: ………………, cơ quan (tổ chức, đơn vị): ………………;</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Địa chỉ: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7. Người vắng mặt</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………………………………………………………………………………(10)</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II. NỘI DUNG ĐỐI THOẠI</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1. Người giải quyết khiếu nại hoặc người được phân công chủ trì đối thoại nêu mục đích, yêu cầu của việc đối thoại, tóm tắt kết quả xác minh nội dung khiếu nại và những nội dung đối thoại</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………………………………………………………………………………(11)</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2. Ý kiến của những người tham gia đối thoại về từng nội dung đối thoại</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III. KẾT QUẢ ĐỐI THOẠI</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Những nội dung đối thoại đã thống nhất, những vấn đề còn có ý kiến khác nhau và những ý kiến khác (nếu có):</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Buổi đối thoại kết thúc hồi …… giờ …… phút, ngày …… tháng …… năm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Biên bản đối thoại đã được đọc lại cho những người tham gia đối thoại nghe và ký xác nhận; trường hợp người tham gia đối thoại không ký xác nhận thì phải ghi rõ lý do: ………………(14).</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Biên bản được lập thành …… bản, có giá trị như nhau; ………………(15) mỗi người nhận 01 bản; 01 bản lưu hồ sơ giải quyết khiếu nại./.</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val="0"/>
                <w:sz w:val="22"/>
              </w:rPr>
              <w:t>NGƯỜI KHIẾU NẠI</w:t>
            </w:r>
          </w:p>
          <w:p>
            <w:pPr>
              <w:spacing w:before="0" w:after="0" w:lineRule="auto" w:line="276"/>
              <w:jc w:val="left"/>
            </w:pPr>
            <w:r>
              <w:rPr>
                <w:rFonts w:ascii="Times New Roman" w:hAnsi="Times New Roman" w:eastAsia="Times New Roman"/>
                <w:b w:val="0"/>
                <w:i w:val="0"/>
                <w:sz w:val="22"/>
              </w:rPr>
              <w:t>HOẶC NGƯỜI ĐẠI DIỆN, NGƯỜI ĐƯỢC ỦY QUYỀN</w:t>
            </w:r>
          </w:p>
          <w:p>
            <w:pPr>
              <w:spacing w:before="0" w:after="0" w:lineRule="auto" w:line="276"/>
              <w:jc w:val="left"/>
            </w:pPr>
            <w:r>
              <w:rPr>
                <w:rFonts w:ascii="Times New Roman" w:hAnsi="Times New Roman" w:eastAsia="Times New Roman"/>
                <w:b w:val="0"/>
                <w:i w:val="0"/>
                <w:sz w:val="22"/>
              </w:rPr>
              <w:t>(Ký, ghi rõ họ tên hoặc điểm chỉ)</w:t>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t>NGƯỜI BỊ KHIẾU NẠI</w:t>
            </w:r>
          </w:p>
          <w:p>
            <w:pPr>
              <w:spacing w:before="0" w:after="0" w:lineRule="auto" w:line="276"/>
              <w:jc w:val="left"/>
            </w:pPr>
            <w:r>
              <w:rPr>
                <w:rFonts w:ascii="Times New Roman" w:hAnsi="Times New Roman" w:eastAsia="Times New Roman"/>
                <w:b w:val="0"/>
                <w:i w:val="0"/>
                <w:sz w:val="22"/>
              </w:rPr>
              <w:t>(Ký, ghi rõ họ tên)</w:t>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t>NGƯỜI CÓ QUYỀN, NGHĨA VỤ LIÊN QUAN</w:t>
            </w:r>
          </w:p>
          <w:p>
            <w:pPr>
              <w:spacing w:before="0" w:after="0" w:lineRule="auto" w:line="276"/>
              <w:jc w:val="left"/>
            </w:pPr>
            <w:r>
              <w:rPr>
                <w:rFonts w:ascii="Times New Roman" w:hAnsi="Times New Roman" w:eastAsia="Times New Roman"/>
                <w:b w:val="0"/>
                <w:i w:val="0"/>
                <w:sz w:val="22"/>
              </w:rPr>
              <w:t>(Ký, ghi rõ họ tên hoặc điểm chỉ)</w:t>
            </w:r>
          </w:p>
        </w:tc>
        <w:tc>
          <w:tcPr>
            <w:tcW w:type="dxa" w:w="4819"/>
          </w:tcPr>
          <w:p>
            <w:pPr>
              <w:spacing w:before="0" w:after="0" w:lineRule="auto" w:line="276"/>
              <w:jc w:val="center"/>
            </w:pPr>
            <w:r>
              <w:rPr>
                <w:rFonts w:ascii="Times New Roman" w:hAnsi="Times New Roman" w:eastAsia="Times New Roman"/>
                <w:b/>
                <w:i w:val="0"/>
                <w:sz w:val="26"/>
              </w:rPr>
              <w:t>NGƯỜI GIẢI QUYẾT KHIẾU NẠI</w:t>
            </w:r>
          </w:p>
          <w:p>
            <w:pPr>
              <w:spacing w:before="0" w:after="0" w:lineRule="auto" w:line="276"/>
              <w:jc w:val="center"/>
            </w:pPr>
            <w:r>
              <w:rPr>
                <w:rFonts w:ascii="Times New Roman" w:hAnsi="Times New Roman" w:eastAsia="Times New Roman"/>
                <w:b/>
                <w:i w:val="0"/>
                <w:sz w:val="26"/>
              </w:rPr>
              <w:t>HOẶC NGƯỜI ĐƯỢC PHÂN CÔNG CHỦ TRÌ ĐỐI THOẠI</w:t>
            </w:r>
          </w:p>
          <w:p>
            <w:pPr>
              <w:spacing w:before="0" w:after="0" w:lineRule="auto" w:line="276"/>
              <w:jc w:val="center"/>
            </w:pPr>
            <w:r>
              <w:rPr>
                <w:rFonts w:ascii="Times New Roman" w:hAnsi="Times New Roman" w:eastAsia="Times New Roman"/>
                <w:b w:val="0"/>
                <w:i/>
                <w:sz w:val="26"/>
              </w:rPr>
              <w:t>(Ký, ghi rõ họ tên, đóng dấu (nếu có))</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t>ĐẠI DIỆN CƠ QUAN, TỔ CHỨC, CÁ NHÂN CÓ LIÊN QUAN</w:t>
            </w:r>
          </w:p>
          <w:p>
            <w:pPr>
              <w:spacing w:before="0" w:after="0" w:lineRule="auto" w:line="276"/>
              <w:jc w:val="center"/>
            </w:pPr>
            <w:r>
              <w:rPr>
                <w:rFonts w:ascii="Times New Roman" w:hAnsi="Times New Roman" w:eastAsia="Times New Roman"/>
                <w:b w:val="0"/>
                <w:i/>
                <w:sz w:val="26"/>
              </w:rPr>
              <w:t>(Ký, ghi rõ họ tên, đóng dấu (nếu có))</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t>NGƯỜI GHI BIÊN BẢN</w:t>
            </w:r>
          </w:p>
          <w:p>
            <w:pPr>
              <w:spacing w:before="0" w:after="0" w:lineRule="auto" w:line="276"/>
              <w:jc w:val="center"/>
            </w:pPr>
            <w:r>
              <w:rPr>
                <w:rFonts w:ascii="Times New Roman" w:hAnsi="Times New Roman" w:eastAsia="Times New Roman"/>
                <w:b w:val="0"/>
                <w:i/>
                <w:sz w:val="26"/>
              </w:rPr>
              <w:t>(Ký, ghi rõ họ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chủ trì đối thoại. Ví dụ: "Số: 32/BB-TTTP-P1"; trường hợp cơ quan không đánh số biên bản thì để trống dòng này.</w:t>
      </w:r>
    </w:p>
    <w:p>
      <w:pPr>
        <w:spacing w:before="0" w:after="0" w:lineRule="auto" w:line="312"/>
        <w:jc w:val="both"/>
      </w:pPr>
      <w:r>
        <w:rPr>
          <w:rFonts w:ascii="Times New Roman" w:hAnsi="Times New Roman" w:eastAsia="Times New Roman"/>
          <w:b w:val="0"/>
          <w:i w:val="0"/>
          <w:sz w:val="22"/>
        </w:rPr>
        <w:t>(2) Địa điểm tiến hành đối thoại, ghi đầy đủ tên phòng, số nhà, tên đường, tên phường, xã, đặc khu. Ví dụ: "Hội trường Thanh tra Thành phố Hồ Chí Minh, số 13 đường Trần Quốc Thảo, Phường Xuân Hòa, Thành phố Hồ Chí Minh".</w:t>
      </w:r>
    </w:p>
    <w:p>
      <w:pPr>
        <w:spacing w:before="0" w:after="0" w:lineRule="auto" w:line="312"/>
        <w:jc w:val="both"/>
      </w:pPr>
      <w:r>
        <w:rPr>
          <w:rFonts w:ascii="Times New Roman" w:hAnsi="Times New Roman" w:eastAsia="Times New Roman"/>
          <w:b w:val="0"/>
          <w:i w:val="0"/>
          <w:sz w:val="22"/>
        </w:rPr>
        <w:t>(3) Lần giải quyết khiếu nại: ghi "lần đầu" hoặc "lần hai".</w:t>
      </w:r>
    </w:p>
    <w:p>
      <w:pPr>
        <w:spacing w:before="0" w:after="0" w:lineRule="auto" w:line="312"/>
        <w:jc w:val="both"/>
      </w:pPr>
      <w:r>
        <w:rPr>
          <w:rFonts w:ascii="Times New Roman" w:hAnsi="Times New Roman" w:eastAsia="Times New Roman"/>
          <w:b w:val="0"/>
          <w:i w:val="0"/>
          <w:sz w:val="22"/>
        </w:rPr>
        <w:t>(4) Họ và tên người khiếu nại; trường hợp nhiều người cùng khiếu nại về một nội dung thì ghi họ tên người đại diện kèm tổng số người và số, ngày tháng năm của văn bản cử người đại diện. Ví dụ: "ông Nguyễn Văn A và 12 người".</w:t>
      </w:r>
    </w:p>
    <w:p>
      <w:pPr>
        <w:spacing w:before="0" w:after="0" w:lineRule="auto" w:line="312"/>
        <w:jc w:val="both"/>
      </w:pPr>
      <w:r>
        <w:rPr>
          <w:rFonts w:ascii="Times New Roman" w:hAnsi="Times New Roman" w:eastAsia="Times New Roman"/>
          <w:b w:val="0"/>
          <w:i w:val="0"/>
          <w:sz w:val="22"/>
        </w:rPr>
        <w:t>(5) Quyết định hành chính, hành vi hành chính hoặc quyết định kỷ luật cán bộ, công chức bị khiếu nại. Ví dụ: "Quyết định số 456/QĐ-UBND ngày 12/3/2026 của Chủ tịch Ủy ban nhân dân Phường Xuân Hòa về bồi thường, hỗ trợ khi Nhà nước thu hồi đất".</w:t>
      </w:r>
    </w:p>
    <w:p>
      <w:pPr>
        <w:spacing w:before="0" w:after="0" w:lineRule="auto" w:line="312"/>
        <w:jc w:val="both"/>
      </w:pPr>
      <w:r>
        <w:rPr>
          <w:rFonts w:ascii="Times New Roman" w:hAnsi="Times New Roman" w:eastAsia="Times New Roman"/>
          <w:b w:val="0"/>
          <w:i w:val="0"/>
          <w:sz w:val="22"/>
        </w:rPr>
        <w:t>(6) Số, ký hiệu, ngày tháng năm của thông báo về việc thụ lý giải quyết khiếu nại và người ký thông báo.</w:t>
      </w:r>
    </w:p>
    <w:p>
      <w:pPr>
        <w:spacing w:before="0" w:after="0" w:lineRule="auto" w:line="312"/>
        <w:jc w:val="both"/>
      </w:pPr>
      <w:r>
        <w:rPr>
          <w:rFonts w:ascii="Times New Roman" w:hAnsi="Times New Roman" w:eastAsia="Times New Roman"/>
          <w:b w:val="0"/>
          <w:i w:val="0"/>
          <w:sz w:val="22"/>
        </w:rPr>
        <w:t>(7) Họ tên, chức vụ, cơ quan của người giải quyết khiếu nại hoặc người được phân công chủ trì đối thoại; trường hợp phân công thì ghi rõ số, ngày tháng năm của văn bản phân công. Ghi thêm họ tên, chức vụ của những người cùng dự với người chủ trì (nếu có).</w:t>
      </w:r>
    </w:p>
    <w:p>
      <w:pPr>
        <w:spacing w:before="0" w:after="0" w:lineRule="auto" w:line="312"/>
        <w:jc w:val="both"/>
      </w:pPr>
      <w:r>
        <w:rPr>
          <w:rFonts w:ascii="Times New Roman" w:hAnsi="Times New Roman" w:eastAsia="Times New Roman"/>
          <w:b w:val="0"/>
          <w:i w:val="0"/>
          <w:sz w:val="22"/>
        </w:rPr>
        <w:t>(8) Họ tên người khiếu nại có mặt; nếu là người đại diện, người được ủy quyền thì ghi rõ tư cách tham gia và số, ngày tháng năm, phạm vi của văn bản ủy quyền.</w:t>
      </w:r>
    </w:p>
    <w:p>
      <w:pPr>
        <w:spacing w:before="0" w:after="0" w:lineRule="auto" w:line="312"/>
        <w:jc w:val="both"/>
      </w:pPr>
      <w:r>
        <w:rPr>
          <w:rFonts w:ascii="Times New Roman" w:hAnsi="Times New Roman" w:eastAsia="Times New Roman"/>
          <w:b w:val="0"/>
          <w:i w:val="0"/>
          <w:sz w:val="22"/>
        </w:rPr>
        <w:t>(9) Họ tên, chức vụ của người bị khiếu nại hoặc người đại diện, người được ủy quyền của người bị khiếu nại.</w:t>
      </w:r>
    </w:p>
    <w:p>
      <w:pPr>
        <w:spacing w:before="0" w:after="0" w:lineRule="auto" w:line="312"/>
        <w:jc w:val="both"/>
      </w:pPr>
      <w:r>
        <w:rPr>
          <w:rFonts w:ascii="Times New Roman" w:hAnsi="Times New Roman" w:eastAsia="Times New Roman"/>
          <w:b w:val="0"/>
          <w:i w:val="0"/>
          <w:sz w:val="22"/>
        </w:rPr>
        <w:t>(10) Ghi rõ họ tên, tư cách tham gia của từng người được mời nhưng vắng mặt; đối với người khiếu nại phải ghi rõ vắng mặt CÓ LÝ DO hay KHÔNG CÓ LÝ DO và lý do cụ thể. Ví dụ: "Ông Nguyễn Văn A, người khiếu nại, vắng mặt không có lý do (đã nhận Thông báo tổ chức đối thoại số 140/TB-TTTP ngày 05/8/2026)"; "Bà Lê Thị B, người có quyền, nghĩa vụ liên quan, vắng mặt có lý do (đang điều trị tại bệnh viện, có giấy nhập viện ngày 08/8/2026)".</w:t>
      </w:r>
    </w:p>
    <w:p>
      <w:pPr>
        <w:spacing w:before="0" w:after="0" w:lineRule="auto" w:line="312"/>
        <w:jc w:val="both"/>
      </w:pPr>
      <w:r>
        <w:rPr>
          <w:rFonts w:ascii="Times New Roman" w:hAnsi="Times New Roman" w:eastAsia="Times New Roman"/>
          <w:b w:val="0"/>
          <w:i w:val="0"/>
          <w:sz w:val="22"/>
        </w:rPr>
        <w:t>(11) Mục đích, yêu cầu đối thoại; tóm tắt kết quả xác minh nội dung khiếu nại và các nội dung đưa ra đối thoại, ghi theo từng nội dung.</w:t>
      </w:r>
    </w:p>
    <w:p>
      <w:pPr>
        <w:spacing w:before="0" w:after="0" w:lineRule="auto" w:line="312"/>
        <w:jc w:val="both"/>
      </w:pPr>
      <w:r>
        <w:rPr>
          <w:rFonts w:ascii="Times New Roman" w:hAnsi="Times New Roman" w:eastAsia="Times New Roman"/>
          <w:b w:val="0"/>
          <w:i w:val="0"/>
          <w:sz w:val="22"/>
        </w:rPr>
        <w:t>(12) Ý kiến của từng người tham gia đối thoại theo từng nội dung đối thoại; ghi trung thực, đầy đủ, không tóm lược làm sai lệch ý kiến; ghi rõ thông tin, tài liệu, bằng chứng được bổ sung tại buổi đối thoại.</w:t>
      </w:r>
    </w:p>
    <w:p>
      <w:pPr>
        <w:spacing w:before="0" w:after="0" w:lineRule="auto" w:line="312"/>
        <w:jc w:val="both"/>
      </w:pPr>
      <w:r>
        <w:rPr>
          <w:rFonts w:ascii="Times New Roman" w:hAnsi="Times New Roman" w:eastAsia="Times New Roman"/>
          <w:b w:val="0"/>
          <w:i w:val="0"/>
          <w:sz w:val="22"/>
        </w:rPr>
        <w:t>(13) Những nội dung các bên đã thống nhất, những vấn đề còn có ý kiến khác nhau và những ý kiến khác; ghi rõ đề nghị, cam kết của các bên (nếu có).</w:t>
      </w:r>
    </w:p>
    <w:p>
      <w:pPr>
        <w:spacing w:before="0" w:after="0" w:lineRule="auto" w:line="312"/>
        <w:jc w:val="both"/>
      </w:pPr>
      <w:r>
        <w:rPr>
          <w:rFonts w:ascii="Times New Roman" w:hAnsi="Times New Roman" w:eastAsia="Times New Roman"/>
          <w:b w:val="0"/>
          <w:i w:val="0"/>
          <w:sz w:val="22"/>
        </w:rPr>
        <w:t>(14) Lý do người tham gia đối thoại không ký hoặc không điểm chỉ xác nhận biên bản; nếu tất cả đều ký thì ghi "không có".</w:t>
      </w:r>
    </w:p>
    <w:p>
      <w:pPr>
        <w:spacing w:before="0" w:after="0" w:lineRule="auto" w:line="312"/>
        <w:jc w:val="both"/>
      </w:pPr>
      <w:r>
        <w:rPr>
          <w:rFonts w:ascii="Times New Roman" w:hAnsi="Times New Roman" w:eastAsia="Times New Roman"/>
          <w:b w:val="0"/>
          <w:i w:val="0"/>
          <w:sz w:val="22"/>
        </w:rPr>
        <w:t>(15) Các thành phần được nhận biên bản, gồm: người giải quyết khiếu nại, người được giao nhiệm vụ xác minh, người khiếu nại, người bị khiếu nại. Người khiếu nại, người bị khiếu nại không tham gia đối thoại thì không được nhận biên bản đối thoại.</w:t>
      </w:r>
    </w:p>
    <w:p>
      <w:pPr>
        <w:spacing w:before="0" w:after="0" w:lineRule="auto" w:line="312"/>
        <w:jc w:val="both"/>
      </w:pPr>
      <w:r>
        <w:rPr>
          <w:rFonts w:ascii="Times New Roman" w:hAnsi="Times New Roman" w:eastAsia="Times New Roman"/>
          <w:b w:val="0"/>
          <w:i w:val="0"/>
          <w:sz w:val="22"/>
        </w:rPr>
        <w:t>* Thông báo về việc tổ chức đối thoại phải được gửi cho người khiếu nại, người đại diện, người bị khiếu nại, người có quyền, nghĩa vụ liên quan, cơ quan, tổ chức có liên quan trước ngày đối thoại ít nhất 05 ngày, ghi rõ thời gian, địa điểm, nội dung đối thoại.</w:t>
      </w:r>
    </w:p>
    <w:p>
      <w:pPr>
        <w:spacing w:before="0" w:after="0" w:lineRule="auto" w:line="312"/>
        <w:jc w:val="both"/>
      </w:pPr>
      <w:r>
        <w:rPr>
          <w:rFonts w:ascii="Times New Roman" w:hAnsi="Times New Roman" w:eastAsia="Times New Roman"/>
          <w:b w:val="0"/>
          <w:i w:val="0"/>
          <w:sz w:val="22"/>
        </w:rPr>
        <w:t>* Trường hợp người khiếu nại đã được mời đối thoại nhưng không tham gia mà không có lý do chính đáng thì người giải quyết khiếu nại vẫn tiếp tục giải quyết khiếu nại; biên bản vẫn phải được lập và ghi rõ việc vắng mặt không có lý do tại mục 7 phần I.</w:t>
      </w:r>
    </w:p>
    <w:p>
      <w:pPr>
        <w:spacing w:before="0" w:after="0" w:lineRule="auto" w:line="312"/>
        <w:jc w:val="both"/>
      </w:pPr>
      <w:r>
        <w:rPr>
          <w:rFonts w:ascii="Times New Roman" w:hAnsi="Times New Roman" w:eastAsia="Times New Roman"/>
          <w:b w:val="0"/>
          <w:i w:val="0"/>
          <w:sz w:val="22"/>
        </w:rPr>
        <w:t>* Lý do chính đáng là sự kiện bất khả kháng hoặc trở ngại khách quan theo Điều 28a Nghị định số 124/2020/NĐ-CP, gồm thiên tai, dịch bệnh, chiến tranh, địch họa; tai nạn, ốm đau, đi công tác, học tập ở nơi xa; hồ sơ, tài liệu liên quan trực tiếp đang bị cơ quan có thẩm quyền tạm giữ, niêm phong; phải có căn cứ, tài liệu chứng minh lưu trong hồ sơ.</w:t>
      </w:r>
    </w:p>
    <w:p>
      <w:pPr>
        <w:spacing w:before="0" w:after="0" w:lineRule="auto" w:line="312"/>
        <w:jc w:val="both"/>
      </w:pPr>
      <w:r>
        <w:rPr>
          <w:rFonts w:ascii="Times New Roman" w:hAnsi="Times New Roman" w:eastAsia="Times New Roman"/>
          <w:b w:val="0"/>
          <w:i w:val="0"/>
          <w:sz w:val="22"/>
        </w:rPr>
        <w:t>* Giải quyết khiếu nại lần hai bắt buộc phải tổ chức đối thoại; giải quyết khiếu nại lần đầu chỉ tổ chức đối thoại khi yêu cầu của người khiếu nại và kết quả xác minh nội dung khiếu nại còn khác nhau.</w:t>
      </w:r>
    </w:p>
    <w:p>
      <w:pPr>
        <w:spacing w:before="0" w:after="0" w:lineRule="auto" w:line="312"/>
        <w:jc w:val="both"/>
      </w:pPr>
      <w:r>
        <w:rPr>
          <w:rFonts w:ascii="Times New Roman" w:hAnsi="Times New Roman" w:eastAsia="Times New Roman"/>
          <w:b w:val="0"/>
          <w:i w:val="0"/>
          <w:sz w:val="22"/>
        </w:rPr>
        <w:t>* Kết quả đối thoại là một trong các căn cứ để giải quyết khiếu nại và phải được thể hiện trong quyết định giải quyết khiếu nại; biên bản được lưu vào hồ sơ vụ việc khiếu nại.</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tên cơ quan chủ trì đối thoại ở góc trên bên trái cho phù hợp với cơ quan mình.</w:t>
      </w:r>
    </w:p>
    <w:p>
      <w:pPr>
        <w:spacing w:before="0" w:after="0" w:lineRule="auto" w:line="312"/>
        <w:jc w:val="both"/>
      </w:pPr>
      <w:r>
        <w:rPr>
          <w:rFonts w:ascii="Times New Roman" w:hAnsi="Times New Roman" w:eastAsia="Times New Roman"/>
          <w:b w:val="0"/>
          <w:i w:val="0"/>
          <w:sz w:val="22"/>
        </w:rPr>
        <w:t>* Căn cứ pháp lý: Điều 30 (bổ sung khoản 6 theo Luật số 136/2025/QH15) và Điều 39 Luật Khiếu nại số 02/2011/QH13 đã được sửa đổi, bổ sung; Điều 28, Điều 28a Nghị định số 124/2020/NĐ-CP ngày 19 tháng 10 năm 2020 của Chính phủ, đã được sửa đổi, bổ sung theo Điều 11 và Điều 12 Nghị định số 155/2026/NĐ-CP ngày 15 tháng 5 năm 2026 của Chính phủ (Mẫu số 14).</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