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trưng cầu giám định thông tin, tài liệu, bằng chứng</w:t>
      </w:r>
    </w:p>
    <w:p>
      <w:pPr>
        <w:spacing w:before="0" w:after="0" w:lineRule="auto" w:line="312"/>
        <w:jc w:val="center"/>
      </w:pPr>
      <w:r>
        <w:rPr>
          <w:rFonts w:ascii="Times New Roman" w:hAnsi="Times New Roman" w:eastAsia="Times New Roman"/>
          <w:b/>
          <w:i w:val="0"/>
          <w:sz w:val="26"/>
        </w:rPr>
        <w:t>liên quan đến nội dung khiếu nại</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CHÁNH THANH TRA THÀNH PHỐ HỒ CHÍ MINH(2)</w:t>
      </w:r>
    </w:p>
    <w:p>
      <w:pPr>
        <w:spacing w:before="0" w:after="0" w:lineRule="auto" w:line="312"/>
        <w:ind w:firstLine="567"/>
        <w:jc w:val="both"/>
      </w:pPr>
      <w:r>
        <w:rPr>
          <w:rFonts w:ascii="Times New Roman" w:hAnsi="Times New Roman" w:eastAsia="Times New Roman"/>
          <w:b w:val="0"/>
          <w:i w:val="0"/>
          <w:sz w:val="26"/>
        </w:rPr>
        <w:t>Căn cứ Luật Khiếu nại số 02/2011/QH13 ngày 11 tháng 11 năm 2011 đã được sửa đổi, bổ sung một số điều;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Xét đề nghị của ………………(4) về việc trưng cầu giám định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Xét ………………………………………………………………………(6).</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1. Trưng cầu ………………(7) thực hiện việc giám định đối với ………………(5).</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Thời hạn có kết luận giám định: trước ngày …… tháng …… năm ………(8).</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2. Kinh phí trưng cầu giám định (nếu phải chi trả) do Thanh tra Thành phố Hồ Chí Minh chi trả theo quy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3. Các ông (bà) ………………(4), ………………(7) và các cơ quan, tổ chức,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Ủy ban nhân dân Thành phố Hồ Chí Minh (để báo cáo);</w:t>
            </w:r>
          </w:p>
          <w:p>
            <w:pPr>
              <w:spacing w:before="0" w:after="0" w:lineRule="auto" w:line="276"/>
              <w:jc w:val="left"/>
            </w:pPr>
            <w:r>
              <w:rPr>
                <w:rFonts w:ascii="Times New Roman" w:hAnsi="Times New Roman" w:eastAsia="Times New Roman"/>
                <w:b w:val="0"/>
                <w:i w:val="0"/>
                <w:sz w:val="22"/>
              </w:rPr>
              <w:t>- Lưu: VT, hồ sơ, ……(9).</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xác minh nội dung khiếu nại. Ví dụ: "Số: 31/QĐ-TTTP-P1".</w:t>
      </w:r>
    </w:p>
    <w:p>
      <w:pPr>
        <w:spacing w:before="0" w:after="0" w:lineRule="auto" w:line="312"/>
        <w:jc w:val="both"/>
      </w:pPr>
      <w:r>
        <w:rPr>
          <w:rFonts w:ascii="Times New Roman" w:hAnsi="Times New Roman" w:eastAsia="Times New Roman"/>
          <w:b w:val="0"/>
          <w:i w:val="0"/>
          <w:sz w:val="22"/>
        </w:rPr>
        <w:t>(2) Chức danh của người giải quyết khiếu nại ban hành quyết định trưng cầu giám định.</w:t>
      </w:r>
    </w:p>
    <w:p>
      <w:pPr>
        <w:spacing w:before="0" w:after="0" w:lineRule="auto" w:line="312"/>
        <w:jc w:val="both"/>
      </w:pPr>
      <w:r>
        <w:rPr>
          <w:rFonts w:ascii="Times New Roman" w:hAnsi="Times New Roman" w:eastAsia="Times New Roman"/>
          <w:b w:val="0"/>
          <w:i w:val="0"/>
          <w:sz w:val="22"/>
        </w:rPr>
        <w:t>(3) Văn bản quy phạm pháp luật có liên quan (nếu có); ví dụ pháp luật về giám định tư pháp, về đất đai, xây dựng theo lĩnh vực cần giám định. Trường hợp không có thì bỏ dòng căn cứ này.</w:t>
      </w:r>
    </w:p>
    <w:p>
      <w:pPr>
        <w:spacing w:before="0" w:after="0" w:lineRule="auto" w:line="312"/>
        <w:jc w:val="both"/>
      </w:pPr>
      <w:r>
        <w:rPr>
          <w:rFonts w:ascii="Times New Roman" w:hAnsi="Times New Roman" w:eastAsia="Times New Roman"/>
          <w:b w:val="0"/>
          <w:i w:val="0"/>
          <w:sz w:val="22"/>
        </w:rPr>
        <w:t>(4) Cơ quan, tổ chức, đơn vị được giao nhiệm vụ xác minh hoặc người khiếu nại, người bị khiếu nại, cơ quan, tổ chức có liên quan đề nghị trưng cầu giám định. Ví dụ: "Trưởng Đoàn (Tổ) xác minh theo Quyết định số 27/QĐ-TTTP-P1".</w:t>
      </w:r>
    </w:p>
    <w:p>
      <w:pPr>
        <w:spacing w:before="0" w:after="0" w:lineRule="auto" w:line="312"/>
        <w:jc w:val="both"/>
      </w:pPr>
      <w:r>
        <w:rPr>
          <w:rFonts w:ascii="Times New Roman" w:hAnsi="Times New Roman" w:eastAsia="Times New Roman"/>
          <w:b w:val="0"/>
          <w:i w:val="0"/>
          <w:sz w:val="22"/>
        </w:rPr>
        <w:t>(5) Đối tượng, nội dung giám định. Ví dụ: "giám định chữ ký, chữ viết trên Giấy chuyển nhượng quyền sử dụng đất lập ngày 05 tháng 5 năm 2019".</w:t>
      </w:r>
    </w:p>
    <w:p>
      <w:pPr>
        <w:spacing w:before="0" w:after="0" w:lineRule="auto" w:line="312"/>
        <w:jc w:val="both"/>
      </w:pPr>
      <w:r>
        <w:rPr>
          <w:rFonts w:ascii="Times New Roman" w:hAnsi="Times New Roman" w:eastAsia="Times New Roman"/>
          <w:b w:val="0"/>
          <w:i w:val="0"/>
          <w:sz w:val="22"/>
        </w:rPr>
        <w:t>(6) Lý do của việc trưng cầu giám định; nêu rõ nội dung liên quan đến chuyên môn, kỹ thuật cần được đánh giá để làm căn cứ cho việc kết luận nội dung khiếu nại.</w:t>
      </w:r>
    </w:p>
    <w:p>
      <w:pPr>
        <w:spacing w:before="0" w:after="0" w:lineRule="auto" w:line="312"/>
        <w:jc w:val="both"/>
      </w:pPr>
      <w:r>
        <w:rPr>
          <w:rFonts w:ascii="Times New Roman" w:hAnsi="Times New Roman" w:eastAsia="Times New Roman"/>
          <w:b w:val="0"/>
          <w:i w:val="0"/>
          <w:sz w:val="22"/>
        </w:rPr>
        <w:t>(7) Cơ quan, tổ chức thực hiện việc giám định. Ví dụ: "Phân viện Khoa học hình sự tại Thành phố Hồ Chí Minh".</w:t>
      </w:r>
    </w:p>
    <w:p>
      <w:pPr>
        <w:spacing w:before="0" w:after="0" w:lineRule="auto" w:line="312"/>
        <w:jc w:val="both"/>
      </w:pPr>
      <w:r>
        <w:rPr>
          <w:rFonts w:ascii="Times New Roman" w:hAnsi="Times New Roman" w:eastAsia="Times New Roman"/>
          <w:b w:val="0"/>
          <w:i w:val="0"/>
          <w:sz w:val="22"/>
        </w:rPr>
        <w:t>(8) Thời hạn có kết luận giám định; phải ấn định bảo đảm nằm trong thời hạn giải quyết khiếu nại là không quá 30 ngày kể từ ngày thụ lý đối với lần đầu (vụ việc phức tạp không quá 45 ngày) và không quá 45 ngày kể từ ngày thụ lý đối với lần hai (vụ việc phức tạp không quá 60 ngày).</w:t>
      </w:r>
    </w:p>
    <w:p>
      <w:pPr>
        <w:spacing w:before="0" w:after="0" w:lineRule="auto" w:line="312"/>
        <w:jc w:val="both"/>
      </w:pPr>
      <w:r>
        <w:rPr>
          <w:rFonts w:ascii="Times New Roman" w:hAnsi="Times New Roman" w:eastAsia="Times New Roman"/>
          <w:b w:val="0"/>
          <w:i w:val="0"/>
          <w:sz w:val="22"/>
        </w:rPr>
        <w:t>(9) Chữ viết tắt tên phòng, đơn vị soạn thảo, tên viết tắt của người soạn thảo và số lượng bản phát hành. Ví dụ: "P1/NVA.5b".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tên cơ quan chi trả kinh phí tại Điều 2 và chức danh người ký cho phù hợp với cơ quan mình; trường hợp không có cơ quan chủ quản trực tiếp thì chỉ ghi tên cơ quan ban hành và bỏ dòng báo cáo tại phần Nơi nhận.</w:t>
      </w:r>
    </w:p>
    <w:p>
      <w:pPr>
        <w:spacing w:before="0" w:after="0" w:lineRule="auto" w:line="312"/>
        <w:jc w:val="both"/>
      </w:pPr>
      <w:r>
        <w:rPr>
          <w:rFonts w:ascii="Times New Roman" w:hAnsi="Times New Roman" w:eastAsia="Times New Roman"/>
          <w:b w:val="0"/>
          <w:i w:val="0"/>
          <w:sz w:val="22"/>
        </w:rPr>
        <w:t>* Chỉ người giải quyết khiếu nại mới có thẩm quyền quyết định việc trưng cầu giám định; người được giao nhiệm vụ xác minh chỉ đề xuất.</w:t>
      </w:r>
    </w:p>
    <w:p>
      <w:pPr>
        <w:spacing w:before="0" w:after="0" w:lineRule="auto" w:line="312"/>
        <w:jc w:val="both"/>
      </w:pPr>
      <w:r>
        <w:rPr>
          <w:rFonts w:ascii="Times New Roman" w:hAnsi="Times New Roman" w:eastAsia="Times New Roman"/>
          <w:b w:val="0"/>
          <w:i w:val="0"/>
          <w:sz w:val="22"/>
        </w:rPr>
        <w:t>* Sau khi ban hành quyết định này, cơ quan trưng cầu gửi văn bản đề nghị cơ quan, tổ chức giám định thực hiện giám định theo Mẫu số 10 ban hành kèm theo Nghị định số 124/2020/NĐ-CP, trong đó nêu rõ tên cơ quan, tổ chức giám định, thông tin, tài liệu cần giám định, nội dung yêu cầu giám định và thời hạn có kết luận giám định.</w:t>
      </w:r>
    </w:p>
    <w:p>
      <w:pPr>
        <w:spacing w:before="0" w:after="0" w:lineRule="auto" w:line="312"/>
        <w:jc w:val="both"/>
      </w:pPr>
      <w:r>
        <w:rPr>
          <w:rFonts w:ascii="Times New Roman" w:hAnsi="Times New Roman" w:eastAsia="Times New Roman"/>
          <w:b w:val="0"/>
          <w:i w:val="0"/>
          <w:sz w:val="22"/>
        </w:rPr>
        <w:t>* Căn cứ: điểm d khoản 3 Điều 29 Luật Khiếu nại số 02/2011/QH13 đã được sửa đổi, bổ sung; Điều 24 Nghị định số 124/2020/NĐ-CP ngày 19 tháng 10 năm 2020 của Chính phủ (đã được sửa đổi, bổ sung theo Nghị định số 155/2026/NĐ-CP ngày 15 tháng 5 năm 2026 của Chính phủ); Mẫu số 09 ban hành kèm theo Nghị định số 124/2020/NĐ-CP.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