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……/TTTP-……(1)</w:t>
            </w:r>
          </w:p>
          <w:p>
            <w:pPr>
              <w:spacing w:before="0" w:after="0" w:lineRule="auto" w:line="276"/>
              <w:jc w:val="center"/>
            </w:pPr>
            <w:r>
              <w:rPr>
                <w:rFonts w:ascii="Times New Roman" w:hAnsi="Times New Roman" w:eastAsia="Times New Roman"/>
                <w:b w:val="0"/>
                <w:i/>
                <w:sz w:val="24"/>
              </w:rPr>
              <w:t>V/v đề nghị cung cấp thông tin, tài liệu, bằng chứng liên quan đến nội dung khiếu nại</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THANH TRA THÀNH PHỐ HỒ CHÍ MINH</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Ngày …… tháng …… năm ………(3), ………………(4) đã thụ lý giải quyết đơn khiếu nại của ………………(5) đối với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Theo quy định của pháp luật và để phục vụ việc giải quyết khiếu nại, Thanh tra Thành phố Hồ Chí Minh đề nghị ………………(2) cung cấp cho Thanh tra Thành phố Hồ Chí Minh những thông tin, tài liệu, bằng chứng sau đây: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Đề nghị ………………(2) chuẩn bị đầy đủ những thông tin, tài liệu, bằng chứng nêu trên và gửi cho Thanh tra Thành phố Hồ Chí Minh trước ngày …… tháng …… năm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(hoặc tên người) nhận: ………………………………………(9).</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Lưu: VT, hồ sơ, ……(10).</w:t>
            </w:r>
          </w:p>
        </w:tc>
        <w:tc>
          <w:tcPr>
            <w:tcW w:type="dxa" w:w="4819"/>
          </w:tcPr>
          <w:p>
            <w:pPr>
              <w:spacing w:before="0" w:after="0" w:lineRule="auto" w:line="276"/>
              <w:jc w:val="center"/>
            </w:pPr>
            <w:r>
              <w:rPr>
                <w:rFonts w:ascii="Times New Roman" w:hAnsi="Times New Roman" w:eastAsia="Times New Roman"/>
                <w:b/>
                <w:i w:val="0"/>
                <w:sz w:val="26"/>
              </w:rPr>
              <w:t>CHÁNH THANH TRA</w:t>
            </w:r>
          </w:p>
          <w:p>
            <w:pPr>
              <w:spacing w:before="0" w:after="0" w:lineRule="auto" w:line="276"/>
              <w:jc w:val="center"/>
            </w:pPr>
            <w:r>
              <w:rPr>
                <w:rFonts w:ascii="Times New Roman" w:hAnsi="Times New Roman" w:eastAsia="Times New Roman"/>
                <w:b w:val="0"/>
                <w:i/>
                <w:sz w:val="26"/>
              </w:rPr>
              <w:t>(Chữ ký, dấu (nếu có))</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xác minh nội dung khiếu nại. Ví dụ: "Số: 318/TTTP-P1".</w:t>
      </w:r>
    </w:p>
    <w:p>
      <w:pPr>
        <w:spacing w:before="0" w:after="0" w:lineRule="auto" w:line="312"/>
        <w:jc w:val="both"/>
      </w:pPr>
      <w:r>
        <w:rPr>
          <w:rFonts w:ascii="Times New Roman" w:hAnsi="Times New Roman" w:eastAsia="Times New Roman"/>
          <w:b w:val="0"/>
          <w:i w:val="0"/>
          <w:sz w:val="22"/>
        </w:rPr>
        <w:t>(2) Tên cơ quan, tổ chức, đơn vị, cá nhân được đề nghị cung cấp thông tin, tài liệu, bằng chứng. Ví dụ: "Ủy ban nhân dân Phường Bàn Cờ, Thành phố Hồ Chí Minh" hoặc "Ông Nguyễn Văn A".</w:t>
      </w:r>
    </w:p>
    <w:p>
      <w:pPr>
        <w:spacing w:before="0" w:after="0" w:lineRule="auto" w:line="312"/>
        <w:jc w:val="both"/>
      </w:pPr>
      <w:r>
        <w:rPr>
          <w:rFonts w:ascii="Times New Roman" w:hAnsi="Times New Roman" w:eastAsia="Times New Roman"/>
          <w:b w:val="0"/>
          <w:i w:val="0"/>
          <w:sz w:val="22"/>
        </w:rPr>
        <w:t>(3) Ngày thụ lý giải quyết khiếu nại, là ngày ban hành thông báo về việc thụ lý giải quyết khiếu nại.</w:t>
      </w:r>
    </w:p>
    <w:p>
      <w:pPr>
        <w:spacing w:before="0" w:after="0" w:lineRule="auto" w:line="312"/>
        <w:jc w:val="both"/>
      </w:pPr>
      <w:r>
        <w:rPr>
          <w:rFonts w:ascii="Times New Roman" w:hAnsi="Times New Roman" w:eastAsia="Times New Roman"/>
          <w:b w:val="0"/>
          <w:i w:val="0"/>
          <w:sz w:val="22"/>
        </w:rPr>
        <w:t>(4) Cơ quan, người có thẩm quyền đã thụ lý giải quyết khiếu nại. Ví dụ: "Chủ tịch Ủy ban nhân dân Thành phố Hồ Chí Minh" hoặc "Chánh Thanh tra Thành phố Hồ Chí Minh".</w:t>
      </w:r>
    </w:p>
    <w:p>
      <w:pPr>
        <w:spacing w:before="0" w:after="0" w:lineRule="auto" w:line="312"/>
        <w:jc w:val="both"/>
      </w:pPr>
      <w:r>
        <w:rPr>
          <w:rFonts w:ascii="Times New Roman" w:hAnsi="Times New Roman" w:eastAsia="Times New Roman"/>
          <w:b w:val="0"/>
          <w:i w:val="0"/>
          <w:sz w:val="22"/>
        </w:rPr>
        <w:t>(5) Họ và tên người khiếu nại; trường hợp người khiếu nại là cơ quan, tổ chức thì ghi tên cơ quan, tổ chức và họ tên, chức vụ người đại diện; trường hợp có ủy quyền thì ghi họ tên người được ủy quyền khiếu nại.</w:t>
      </w:r>
    </w:p>
    <w:p>
      <w:pPr>
        <w:spacing w:before="0" w:after="0" w:lineRule="auto" w:line="312"/>
        <w:jc w:val="both"/>
      </w:pPr>
      <w:r>
        <w:rPr>
          <w:rFonts w:ascii="Times New Roman" w:hAnsi="Times New Roman" w:eastAsia="Times New Roman"/>
          <w:b w:val="0"/>
          <w:i w:val="0"/>
          <w:sz w:val="22"/>
        </w:rPr>
        <w:t>(6) Quyết định hành chính, hành vi hành chính, quyết định kỷ luật cán bộ, công chức bị khiếu nại. Ví dụ: "Quyết định số 456/QĐ-UBND ngày 12 tháng 3 năm 2026 của Chủ tịch Ủy ban nhân dân Phường … về bồi thường, hỗ trợ khi Nhà nước thu hồi đất".</w:t>
      </w:r>
    </w:p>
    <w:p>
      <w:pPr>
        <w:spacing w:before="0" w:after="0" w:lineRule="auto" w:line="312"/>
        <w:jc w:val="both"/>
      </w:pPr>
      <w:r>
        <w:rPr>
          <w:rFonts w:ascii="Times New Roman" w:hAnsi="Times New Roman" w:eastAsia="Times New Roman"/>
          <w:b w:val="0"/>
          <w:i w:val="0"/>
          <w:sz w:val="22"/>
        </w:rPr>
        <w:t>(7) Các yêu cầu đối với thông tin, tài liệu, bằng chứng đề nghị cung cấp; liệt kê cụ thể từng loại tài liệu, ghi rõ bản chính hay bản sao có chứng thực, thời kỳ, phạm vi tài liệu và yêu cầu giải trình bằng văn bản (nếu có).</w:t>
      </w:r>
    </w:p>
    <w:p>
      <w:pPr>
        <w:spacing w:before="0" w:after="0" w:lineRule="auto" w:line="312"/>
        <w:jc w:val="both"/>
      </w:pPr>
      <w:r>
        <w:rPr>
          <w:rFonts w:ascii="Times New Roman" w:hAnsi="Times New Roman" w:eastAsia="Times New Roman"/>
          <w:b w:val="0"/>
          <w:i w:val="0"/>
          <w:sz w:val="22"/>
        </w:rPr>
        <w:t>(8) Thời hạn gửi thông tin, tài liệu, bằng chứng; phải ấn định hợp lý, bảo đảm nằm trong thời hạn giải quyết khiếu nại là không quá 30 ngày kể từ ngày thụ lý đối với lần đầu (vụ việc phức tạp không quá 45 ngày) và không quá 45 ngày kể từ ngày thụ lý đối với lần hai (vụ việc phức tạp không quá 60 ngày).</w:t>
      </w:r>
    </w:p>
    <w:p>
      <w:pPr>
        <w:spacing w:before="0" w:after="0" w:lineRule="auto" w:line="312"/>
        <w:jc w:val="both"/>
      </w:pPr>
      <w:r>
        <w:rPr>
          <w:rFonts w:ascii="Times New Roman" w:hAnsi="Times New Roman" w:eastAsia="Times New Roman"/>
          <w:b w:val="0"/>
          <w:i w:val="0"/>
          <w:sz w:val="22"/>
        </w:rPr>
        <w:t>(9) Địa chỉ nhận thông tin, tài liệu, bằng chứng hoặc họ tên, chức vụ, số điện thoại của người được giao tiếp nhận thông tin, tài liệu, bằng chứng.</w:t>
      </w:r>
    </w:p>
    <w:p>
      <w:pPr>
        <w:spacing w:before="0" w:after="0" w:lineRule="auto" w:line="312"/>
        <w:jc w:val="both"/>
      </w:pPr>
      <w:r>
        <w:rPr>
          <w:rFonts w:ascii="Times New Roman" w:hAnsi="Times New Roman" w:eastAsia="Times New Roman"/>
          <w:b w:val="0"/>
          <w:i w:val="0"/>
          <w:sz w:val="22"/>
        </w:rPr>
        <w:t>(10) Chữ viết tắt tên phòng, đơn vị soạn thảo, tên viết tắt của người soạn thảo và số lượng bản phát hành. Ví dụ: "P1/NVA.3b".</w:t>
      </w:r>
    </w:p>
    <w:p>
      <w:pPr>
        <w:spacing w:before="0" w:after="0" w:lineRule="auto" w:line="312"/>
        <w:jc w:val="both"/>
      </w:pPr>
      <w:r>
        <w:rPr>
          <w:rFonts w:ascii="Times New Roman" w:hAnsi="Times New Roman" w:eastAsia="Times New Roman"/>
          <w:b w:val="0"/>
          <w:i w:val="0"/>
          <w:sz w:val="22"/>
        </w:rPr>
        <w:t>* Văn bản này là công văn hành chính, không có tên loại; trích yếu nội dung được trình bày dưới số, ký hiệu văn bản ở góc trên bên trái theo Nghị định số 30/2020/NĐ-CP.</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tác giả văn bản ở góc trên bên trái (ỦY BAN NHÂN DÂN THÀNH PHỐ HỒ CHÍ MINH – THANH TRA THÀNH PHỐ), ký hiệu số văn bản, tên cơ quan nêu trong nội dung và chức danh người ký cho phù hợp với cơ quan mình; trường hợp không có cơ quan chủ quản trực tiếp thì chỉ ghi tên cơ quan ban hành.</w:t>
      </w:r>
    </w:p>
    <w:p>
      <w:pPr>
        <w:spacing w:before="0" w:after="0" w:lineRule="auto" w:line="312"/>
        <w:jc w:val="both"/>
      </w:pPr>
      <w:r>
        <w:rPr>
          <w:rFonts w:ascii="Times New Roman" w:hAnsi="Times New Roman" w:eastAsia="Times New Roman"/>
          <w:b w:val="0"/>
          <w:i w:val="0"/>
          <w:sz w:val="22"/>
        </w:rPr>
        <w:t>* Trường hợp làm việc trực tiếp với cơ quan, tổ chức, đơn vị, cá nhân có liên quan để yêu cầu cung cấp thông tin, tài liệu, bằng chứng thì lập biên bản làm việc theo Mẫu KN-06; việc tiếp nhận trực tiếp thông tin, tài liệu, bằng chứng phải lập biên bản giao nhận theo Mẫu KN-08.</w:t>
      </w:r>
    </w:p>
    <w:p>
      <w:pPr>
        <w:spacing w:before="0" w:after="0" w:lineRule="auto" w:line="312"/>
        <w:jc w:val="both"/>
      </w:pPr>
      <w:r>
        <w:rPr>
          <w:rFonts w:ascii="Times New Roman" w:hAnsi="Times New Roman" w:eastAsia="Times New Roman"/>
          <w:b w:val="0"/>
          <w:i w:val="0"/>
          <w:sz w:val="22"/>
        </w:rPr>
        <w:t>* Căn cứ: điểm a và điểm b khoản 3 Điều 29 Luật Khiếu nại số 02/2011/QH13 đã được sửa đổi, bổ sung; Điều 21 và Điều 22 Nghị định số 124/2020/NĐ-CP ngày 19 tháng 10 năm 2020 của Chính phủ (đã được sửa đổi, bổ sung theo Nghị định số 155/2026/NĐ-CP ngày 15 tháng 5 năm 2026 của Chính phủ); Mẫu số 07 ban hành kèm theo Nghị định số 124/2020/NĐ-CP.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