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việc không thụ lý giải quyết khiếu nại</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………(3), Thanh tra Thành phố Hồ Chí Minh đã nhận được đơn khiếu nại của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………………(5),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Khiếu nại về việc: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Sau khi xem xét nội dung đơn khiếu nại, căn cứ Điều 11 của Luật Khiếu nại, Thanh tra Thành phố Hồ Chí Minh nhận thấy đơn khiếu nại của ………………(2) không đủ điều kiện để thụ lý giải quyết vì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Vậy Thanh tra Thành phố Hồ Chí Minh thông báo để ………………(2) được biết./.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……(8);</w:t>
            </w:r>
          </w:p>
          <w:p>
            <w:pPr>
              <w:spacing w:before="0" w:after="0" w:lineRule="auto" w:line="276"/>
              <w:jc w:val="left"/>
            </w:pPr>
            <w:r>
              <w:rPr>
                <w:rFonts w:ascii="Times New Roman" w:hAnsi="Times New Roman" w:eastAsia="Times New Roman"/>
                <w:b w:val="0"/>
                <w:i w:val="0"/>
                <w:sz w:val="22"/>
              </w:rPr>
              <w:t>- Lưu: VT, hồ sơ, ……(9).</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xử lý vụ việc khiếu nại. Ví dụ: "Số: 146/TB-TTTP-P1".</w:t>
      </w:r>
    </w:p>
    <w:p>
      <w:pPr>
        <w:spacing w:before="0" w:after="0" w:lineRule="auto" w:line="312"/>
        <w:jc w:val="both"/>
      </w:pPr>
      <w:r>
        <w:rPr>
          <w:rFonts w:ascii="Times New Roman" w:hAnsi="Times New Roman" w:eastAsia="Times New Roman"/>
          <w:b w:val="0"/>
          <w:i w:val="0"/>
          <w:sz w:val="22"/>
        </w:rPr>
        <w:t>(2) Họ và tên người khiếu nại; trường hợp người khiếu nại là cơ quan, tổ chức thì ghi tên cơ quan, tổ chức và họ tên, chức vụ người đại diện; trường hợp có ủy quyền thì ghi họ tên người được ủy quyền khiếu nại. Trường hợp nhiều người cùng khiếu nại về một nội dung và đã cử người đại diện thì thông báo được gửi đến một trong những người đại diện.</w:t>
      </w:r>
    </w:p>
    <w:p>
      <w:pPr>
        <w:spacing w:before="0" w:after="0" w:lineRule="auto" w:line="312"/>
        <w:jc w:val="both"/>
      </w:pPr>
      <w:r>
        <w:rPr>
          <w:rFonts w:ascii="Times New Roman" w:hAnsi="Times New Roman" w:eastAsia="Times New Roman"/>
          <w:b w:val="0"/>
          <w:i w:val="0"/>
          <w:sz w:val="22"/>
        </w:rPr>
        <w:t>(3) Ngày cơ quan nhận được đơn khiếu nại, là ngày ghi trong dấu "Văn bản đến" của Văn phòng; đây là mốc để tính thời hạn 07 ngày làm việc xem xét thụ lý hoặc không thụ lý.</w:t>
      </w:r>
    </w:p>
    <w:p>
      <w:pPr>
        <w:spacing w:before="0" w:after="0" w:lineRule="auto" w:line="312"/>
        <w:jc w:val="both"/>
      </w:pPr>
      <w:r>
        <w:rPr>
          <w:rFonts w:ascii="Times New Roman" w:hAnsi="Times New Roman" w:eastAsia="Times New Roman"/>
          <w:b w:val="0"/>
          <w:i w:val="0"/>
          <w:sz w:val="22"/>
        </w:rPr>
        <w:t>(4) Địa chỉ của người khiếu nại ghi trên đơn (hoặc địa chỉ liên hệ do người khiếu nại đăng ký).</w:t>
      </w:r>
    </w:p>
    <w:p>
      <w:pPr>
        <w:spacing w:before="0" w:after="0" w:lineRule="auto" w:line="312"/>
        <w:jc w:val="both"/>
      </w:pPr>
      <w:r>
        <w:rPr>
          <w:rFonts w:ascii="Times New Roman" w:hAnsi="Times New Roman" w:eastAsia="Times New Roman"/>
          <w:b w:val="0"/>
          <w:i w:val="0"/>
          <w:sz w:val="22"/>
        </w:rPr>
        <w:t>(5) Số căn cước hoặc giấy chứng nhận căn cước hoặc số định danh cá nhân hoặc số hộ chiếu của người khiếu nại, kèm ngày cấp, nơi cấp.</w:t>
      </w:r>
    </w:p>
    <w:p>
      <w:pPr>
        <w:spacing w:before="0" w:after="0" w:lineRule="auto" w:line="312"/>
        <w:jc w:val="both"/>
      </w:pPr>
      <w:r>
        <w:rPr>
          <w:rFonts w:ascii="Times New Roman" w:hAnsi="Times New Roman" w:eastAsia="Times New Roman"/>
          <w:b w:val="0"/>
          <w:i w:val="0"/>
          <w:sz w:val="22"/>
        </w:rPr>
        <w:t>(6) Tóm tắt nội dung khiếu nại, nêu rõ quyết định hành chính, hành vi hành chính hoặc quyết định kỷ luật cán bộ, công chức bị khiếu nại.</w:t>
      </w:r>
    </w:p>
    <w:p>
      <w:pPr>
        <w:spacing w:before="0" w:after="0" w:lineRule="auto" w:line="312"/>
        <w:jc w:val="both"/>
      </w:pPr>
      <w:r>
        <w:rPr>
          <w:rFonts w:ascii="Times New Roman" w:hAnsi="Times New Roman" w:eastAsia="Times New Roman"/>
          <w:b w:val="0"/>
          <w:i w:val="0"/>
          <w:sz w:val="22"/>
        </w:rPr>
        <w:t>(7) Lý do của việc không thụ lý giải quyết khiếu nại, viện dẫn rõ khoản tương ứng của Điều 11 Luật Khiếu nại. Ví dụ: "thời hiệu khiếu nại đã hết mà không có lý do chính đáng theo khoản 6 Điều 11 Luật Khiếu nại"; "khiếu nại đã có quyết định giải quyết khiếu nại lần hai theo khoản 7 Điều 11 Luật Khiếu nại"; "đơn khiếu nại không có chữ ký hoặc điểm chỉ của người khiếu nại theo khoản 5 Điều 11 Luật Khiếu nại".</w:t>
      </w:r>
    </w:p>
    <w:p>
      <w:pPr>
        <w:spacing w:before="0" w:after="0" w:lineRule="auto" w:line="312"/>
        <w:jc w:val="both"/>
      </w:pPr>
      <w:r>
        <w:rPr>
          <w:rFonts w:ascii="Times New Roman" w:hAnsi="Times New Roman" w:eastAsia="Times New Roman"/>
          <w:b w:val="0"/>
          <w:i w:val="0"/>
          <w:sz w:val="22"/>
        </w:rPr>
        <w:t>(8) Tên cơ quan, tổ chức, đơn vị, cá nhân theo quy định tại khoản 2 Điều 16 Nghị định số 124/2020/NĐ-CP: cơ quan, tổ chức, đơn vị, cá nhân có thẩm quyền đã chuyển khiếu nại đến (nếu có) và cơ quan thanh tra nhà nước cùng cấp. Đối với khiếu nại quyết định kỷ luật cán bộ, công chức thì thông báo chỉ gửi cho người khiếu nại.</w:t>
      </w:r>
    </w:p>
    <w:p>
      <w:pPr>
        <w:spacing w:before="0" w:after="0" w:lineRule="auto" w:line="312"/>
        <w:jc w:val="both"/>
      </w:pPr>
      <w:r>
        <w:rPr>
          <w:rFonts w:ascii="Times New Roman" w:hAnsi="Times New Roman" w:eastAsia="Times New Roman"/>
          <w:b w:val="0"/>
          <w:i w:val="0"/>
          <w:sz w:val="22"/>
        </w:rPr>
        <w:t>(9) Chữ viết tắt tên phòng, đơn vị soạn thảo, tên viết tắt của người soạn thảo và số lượng bản phát hành. Ví dụ: "P1/NVA.4b".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tên cơ quan nêu trong nội dung và chức danh người ký cho phù hợp với cơ quan mình; trường hợp không có cơ quan chủ quản trực tiếp thì chỉ ghi tên cơ quan ban hành. Trường hợp vụ việc thuộc thẩm quyền giải quyết của Chủ tịch Ủy ban nhân dân Thành phố Hồ Chí Minh thì tác giả văn bản ghi "ỦY BAN NHÂN DÂN THÀNH PHỐ HỒ CHÍ MINH" và người ký là Chủ tịch Ủy ban nhân dân Thành phố.</w:t>
      </w:r>
    </w:p>
    <w:p>
      <w:pPr>
        <w:spacing w:before="0" w:after="0" w:lineRule="auto" w:line="312"/>
        <w:jc w:val="both"/>
      </w:pPr>
      <w:r>
        <w:rPr>
          <w:rFonts w:ascii="Times New Roman" w:hAnsi="Times New Roman" w:eastAsia="Times New Roman"/>
          <w:b w:val="0"/>
          <w:i w:val="0"/>
          <w:sz w:val="22"/>
        </w:rPr>
        <w:t>* Thông báo không thụ lý chỉ áp dụng đối với khiếu nại thuộc thẩm quyền giải quyết nhưng thuộc một trong các trường hợp quy định tại Điều 11 Luật Khiếu nại; trường hợp khiếu nại không thuộc thẩm quyền thì hướng dẫn người khiếu nại đến cơ quan có thẩm quyền, không dùng mẫu này.</w:t>
      </w:r>
    </w:p>
    <w:p>
      <w:pPr>
        <w:spacing w:before="0" w:after="0" w:lineRule="auto" w:line="312"/>
        <w:jc w:val="both"/>
      </w:pPr>
      <w:r>
        <w:rPr>
          <w:rFonts w:ascii="Times New Roman" w:hAnsi="Times New Roman" w:eastAsia="Times New Roman"/>
          <w:b w:val="0"/>
          <w:i w:val="0"/>
          <w:sz w:val="22"/>
        </w:rPr>
        <w:t>* Căn cứ: Điều 11, Điều 27 và khoản 1 Điều 36 Luật Khiếu nại số 02/2011/QH13 đã được sửa đổi, bổ sung (thời hạn xem xét thụ lý là 07 ngày làm việc theo điểm b khoản 15 Điều 2 Luật số 136/2025/QH15); Điều 16 Nghị định số 124/2020/NĐ-CP ngày 19 tháng 10 năm 2020 của Chính phủ, khoản 1 được sửa đổi theo Điều 10 Nghị định số 155/2026/NĐ-CP ngày 15 tháng 5 năm 2026 của Chính phủ; Mẫu số 04 ban hành kèm theo Nghị định số 124/2020/NĐ-CP, được thay thế theo khoản 1 Điều 20 Nghị định số 155/2026/NĐ-CP.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