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……/……(3)</w:t>
            </w:r>
          </w:p>
          <w:p>
            <w:pPr>
              <w:spacing w:before="0" w:after="0" w:lineRule="auto" w:line="276"/>
              <w:jc w:val="center"/>
            </w:pPr>
            <w:r>
              <w:rPr>
                <w:rFonts w:ascii="Times New Roman" w:hAnsi="Times New Roman" w:eastAsia="Times New Roman"/>
                <w:b w:val="0"/>
                <w:i/>
                <w:sz w:val="24"/>
              </w:rPr>
              <w:t>V/v kiến nghị khởi tố và chuyển hồ sơ vụ việc, tài liệu có liên quan đến cơ quan điều tra</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4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6"/>
        </w:rPr>
        <w:t>Kính gửi: ……………………………………… (4)</w:t>
      </w:r>
    </w:p>
    <w:p>
      <w:pPr>
        <w:spacing w:before="0" w:after="0" w:lineRule="auto" w:line="312"/>
        <w:ind w:firstLine="567"/>
        <w:jc w:val="both"/>
      </w:pPr>
      <w:r>
        <w:rPr>
          <w:rFonts w:ascii="Times New Roman" w:hAnsi="Times New Roman" w:eastAsia="Times New Roman"/>
          <w:b w:val="0"/>
          <w:i w:val="0"/>
          <w:sz w:val="26"/>
        </w:rPr>
        <w:t>Thực hiện Quyết định kiểm tra chuyên ngành số ………… ngày …… tháng …… năm ……… của ……………… (5) về việc ……………… (6), Đoàn kiểm tra chuyên ngành đã tiến hành kiểm tra đối với ……………… (7) từ ngày …… tháng …… năm ……… đến ngày …… tháng …… năm ………</w:t>
      </w:r>
    </w:p>
    <w:p>
      <w:pPr>
        <w:spacing w:before="0" w:after="0" w:lineRule="auto" w:line="312"/>
        <w:ind w:firstLine="567"/>
        <w:jc w:val="both"/>
      </w:pPr>
      <w:r>
        <w:rPr>
          <w:rFonts w:ascii="Times New Roman" w:hAnsi="Times New Roman" w:eastAsia="Times New Roman"/>
          <w:b w:val="0"/>
          <w:i w:val="0"/>
          <w:sz w:val="26"/>
        </w:rPr>
        <w:t>Qua kiểm tra, Đoàn kiểm tra phát hiện vụ việc có dấu hiệu tội phạm. Căn cứ điểm d khoản 3 Điều 15 của Nghị định số 217/2025/NĐ-CP ngày 05 tháng 8 năm 2025 của Chính phủ về hoạt động kiểm tra chuyên ngành, ……………… (2) kiến nghị khởi tố và chuyển hồ sơ vụ việc, tài liệu có liên quan đến ……………… (4) để xem xét, quyết định việc khởi tố vụ án hình sự theo quy định của pháp luật, với các nội dung như sau: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Tổ chức, cá nhân có liên quan đến vụ việc (8)</w:t>
      </w:r>
    </w:p>
    <w:p>
      <w:pPr>
        <w:spacing w:before="0" w:after="0" w:lineRule="auto" w:line="312"/>
        <w:jc w:val="both"/>
      </w:pPr>
      <w:r>
        <w:rPr>
          <w:rFonts w:ascii="Times New Roman" w:hAnsi="Times New Roman" w:eastAsia="Times New Roman"/>
          <w:b w:val="0"/>
          <w:i w:val="0"/>
          <w:sz w:val="26"/>
        </w:rPr>
        <w:t>- Tổ chức: tên ………………, địa chỉ trụ sở ………………, mã số doanh nghiệp/số quyết định thành lập ………………, người đại diện theo pháp luật ………………;</w:t>
      </w:r>
    </w:p>
    <w:p>
      <w:pPr>
        <w:spacing w:before="0" w:after="0" w:lineRule="auto" w:line="312"/>
        <w:jc w:val="both"/>
      </w:pPr>
      <w:r>
        <w:rPr>
          <w:rFonts w:ascii="Times New Roman" w:hAnsi="Times New Roman" w:eastAsia="Times New Roman"/>
          <w:b w:val="0"/>
          <w:i w:val="0"/>
          <w:sz w:val="26"/>
        </w:rPr>
        <w:t>- Cá nhân: họ và tên ………………, ngày tháng năm sinh ………………, số định danh cá nhân ………………, nơi cư trú ………………, chức vụ, đơn vị công tác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Tóm tắt nội dung vụ việc (9)</w:t>
      </w:r>
    </w:p>
    <w:p>
      <w:pPr>
        <w:spacing w:before="0" w:after="0" w:lineRule="auto" w:line="312"/>
        <w:jc w:val="left"/>
      </w:pPr>
      <w:r>
        <w:rPr>
          <w:rFonts w:ascii="Times New Roman" w:hAnsi="Times New Roman" w:eastAsia="Times New Roman"/>
          <w:b w:val="0"/>
          <w:i w:val="0"/>
          <w:sz w:val="26"/>
        </w:rPr>
        <w:t>- Thời gian, địa điểm xảy ra vụ việc: …………………………………………………</w:t>
      </w:r>
    </w:p>
    <w:p>
      <w:pPr>
        <w:spacing w:before="0" w:after="0" w:lineRule="auto" w:line="312"/>
        <w:jc w:val="left"/>
      </w:pPr>
      <w:r>
        <w:rPr>
          <w:rFonts w:ascii="Times New Roman" w:hAnsi="Times New Roman" w:eastAsia="Times New Roman"/>
          <w:b w:val="0"/>
          <w:i w:val="0"/>
          <w:sz w:val="26"/>
        </w:rPr>
        <w:t>- Diễn biến, hành vi đã thực hiện: ………………………………………………………</w:t>
      </w:r>
    </w:p>
    <w:p>
      <w:pPr>
        <w:spacing w:before="0" w:after="0" w:lineRule="auto" w:line="312"/>
        <w:jc w:val="left"/>
      </w:pPr>
      <w:r>
        <w:rPr>
          <w:rFonts w:ascii="Times New Roman" w:hAnsi="Times New Roman" w:eastAsia="Times New Roman"/>
          <w:b w:val="0"/>
          <w:i w:val="0"/>
          <w:sz w:val="26"/>
        </w:rPr>
        <w:t>- Hậu quả, thiệt hại (nếu xác định được):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3. Dấu hiệu tội phạm và tài liệu, chứng cứ chứng minh</w:t>
      </w:r>
    </w:p>
    <w:p>
      <w:pPr>
        <w:spacing w:before="0" w:after="0" w:lineRule="auto" w:line="312"/>
        <w:ind w:firstLine="567"/>
        <w:jc w:val="both"/>
      </w:pPr>
      <w:r>
        <w:rPr>
          <w:rFonts w:ascii="Times New Roman" w:hAnsi="Times New Roman" w:eastAsia="Times New Roman"/>
          <w:b w:val="0"/>
          <w:i w:val="0"/>
          <w:sz w:val="26"/>
        </w:rPr>
        <w:t>3.1. Dấu hiệu tội phạm: (10)</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val="0"/>
          <w:i w:val="0"/>
          <w:sz w:val="26"/>
        </w:rPr>
        <w:t>3.2. Tài liệu, chứng cứ chứng minh: (11)</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val="0"/>
          <w:i w:val="0"/>
          <w:sz w:val="26"/>
        </w:rPr>
        <w:t>3.3. Các biện pháp đã áp dụng theo thẩm quyền: (12)</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4. Hồ sơ vụ việc, tài liệu có liên quan chuyển đến cơ quan điều tra</w:t>
      </w:r>
    </w:p>
    <w:p>
      <w:pPr>
        <w:spacing w:before="0" w:after="0" w:lineRule="auto" w:line="312"/>
        <w:ind w:firstLine="567"/>
        <w:jc w:val="both"/>
      </w:pPr>
      <w:r>
        <w:rPr>
          <w:rFonts w:ascii="Times New Roman" w:hAnsi="Times New Roman" w:eastAsia="Times New Roman"/>
          <w:b w:val="0"/>
          <w:i w:val="0"/>
          <w:sz w:val="26"/>
        </w:rPr>
        <w:t>Hồ sơ vụ việc, tài liệu có liên quan gồm …… tài liệu, …… trang và …… tệp dữ liệu điện tử (nếu có), được thống kê chi tiết tại Danh mục kèm theo và được bàn giao, lập thành biên bản bàn giao theo quy định (13).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5. Kiến nghị</w:t>
      </w:r>
    </w:p>
    <w:p>
      <w:pPr>
        <w:spacing w:before="0" w:after="0" w:lineRule="auto" w:line="312"/>
        <w:ind w:firstLine="567"/>
        <w:jc w:val="both"/>
      </w:pPr>
      <w:r>
        <w:rPr>
          <w:rFonts w:ascii="Times New Roman" w:hAnsi="Times New Roman" w:eastAsia="Times New Roman"/>
          <w:b w:val="0"/>
          <w:i w:val="0"/>
          <w:sz w:val="26"/>
        </w:rPr>
        <w:t>1. Kiến nghị ……………… (4) tiếp nhận hồ sơ vụ việc, tài liệu có liên quan; xem xét, quyết định việc khởi tố vụ án hình sự theo quy định của pháp luật về tố tụng hình sự.</w:t>
      </w:r>
    </w:p>
    <w:p>
      <w:pPr>
        <w:spacing w:before="0" w:after="0" w:lineRule="auto" w:line="312"/>
        <w:ind w:firstLine="567"/>
        <w:jc w:val="both"/>
      </w:pPr>
      <w:r>
        <w:rPr>
          <w:rFonts w:ascii="Times New Roman" w:hAnsi="Times New Roman" w:eastAsia="Times New Roman"/>
          <w:b w:val="0"/>
          <w:i w:val="0"/>
          <w:sz w:val="26"/>
        </w:rPr>
        <w:t>2. Đề nghị thông báo kết quả tiếp nhận, giải quyết về ……………… (2) để theo dõi, phối hợp và làm cơ sở xử lý tiếp theo đối với vụ việc theo quy định.</w:t>
      </w:r>
    </w:p>
    <w:p>
      <w:pPr>
        <w:spacing w:before="0" w:after="0" w:lineRule="auto" w:line="312"/>
        <w:ind w:firstLine="567"/>
        <w:jc w:val="both"/>
      </w:pPr>
      <w:r>
        <w:rPr>
          <w:rFonts w:ascii="Times New Roman" w:hAnsi="Times New Roman" w:eastAsia="Times New Roman"/>
          <w:b w:val="0"/>
          <w:i w:val="0"/>
          <w:sz w:val="26"/>
        </w:rPr>
        <w:t>3. ……………… (2) cam kết chịu trách nhiệm về tính hợp pháp, chính xác của hồ sơ, tài liệu đã chuyển giao; sẵn sàng cung cấp bổ sung thông tin, hồ sơ, tài liệu, dữ liệu và cử công chức, viên chức phối hợp khi có yêu cầu. Đầu mối liên hệ: ông (bà) ………………, chức vụ ………………, số điện thoại ………………, thư điện tử ……………… (14).</w:t>
      </w:r>
    </w:p>
    <w:p>
      <w:pPr>
        <w:spacing w:before="0" w:after="0" w:lineRule="auto" w:line="312"/>
        <w:ind w:firstLine="567"/>
        <w:jc w:val="both"/>
      </w:pPr>
      <w:r>
        <w:rPr>
          <w:rFonts w:ascii="Times New Roman" w:hAnsi="Times New Roman" w:eastAsia="Times New Roman"/>
          <w:b w:val="0"/>
          <w:i w:val="0"/>
          <w:sz w:val="26"/>
        </w:rPr>
        <w:t>Kể từ ngày chuyển hồ sơ, ……………… (2) không tiếp tục xem xét, đánh giá đối với nội dung đã kiến nghị khởi tố; việc xử lý vi phạm hành chính đối với hành vi đã chuyển hồ sơ được thực hiện theo quy định của pháp luật về xử lý vi phạm hành chính (15)./.</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 (16);</w:t>
            </w:r>
          </w:p>
          <w:p>
            <w:pPr>
              <w:spacing w:before="0" w:after="0" w:lineRule="auto" w:line="276"/>
              <w:jc w:val="left"/>
            </w:pPr>
            <w:r>
              <w:rPr>
                <w:rFonts w:ascii="Times New Roman" w:hAnsi="Times New Roman" w:eastAsia="Times New Roman"/>
                <w:b w:val="0"/>
                <w:i w:val="0"/>
                <w:sz w:val="22"/>
              </w:rPr>
              <w:t>- ……………………… (17) (để báo cáo);</w:t>
            </w:r>
          </w:p>
          <w:p>
            <w:pPr>
              <w:spacing w:before="0" w:after="0" w:lineRule="auto" w:line="276"/>
              <w:jc w:val="left"/>
            </w:pPr>
            <w:r>
              <w:rPr>
                <w:rFonts w:ascii="Times New Roman" w:hAnsi="Times New Roman" w:eastAsia="Times New Roman"/>
                <w:b w:val="0"/>
                <w:i w:val="0"/>
                <w:sz w:val="22"/>
              </w:rPr>
              <w:t>- ……………………… (18);</w:t>
            </w:r>
          </w:p>
          <w:p>
            <w:pPr>
              <w:spacing w:before="0" w:after="0" w:lineRule="auto" w:line="276"/>
              <w:jc w:val="left"/>
            </w:pPr>
            <w:r>
              <w:rPr>
                <w:rFonts w:ascii="Times New Roman" w:hAnsi="Times New Roman" w:eastAsia="Times New Roman"/>
                <w:b w:val="0"/>
                <w:i w:val="0"/>
                <w:sz w:val="22"/>
              </w:rPr>
              <w:t>- Lưu: VT, ………(19), HSKT.</w:t>
            </w:r>
          </w:p>
        </w:tc>
        <w:tc>
          <w:tcPr>
            <w:tcW w:type="dxa" w:w="4819"/>
          </w:tcPr>
          <w:p>
            <w:pPr>
              <w:spacing w:before="0" w:after="0" w:lineRule="auto" w:line="276"/>
              <w:jc w:val="center"/>
            </w:pPr>
            <w:r>
              <w:rPr>
                <w:rFonts w:ascii="Times New Roman" w:hAnsi="Times New Roman" w:eastAsia="Times New Roman"/>
                <w:b/>
                <w:i w:val="0"/>
                <w:sz w:val="26"/>
              </w:rPr>
              <w:t>……………………………… (20)</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chủ quản trực tiếp của cơ quan, đơn vị ban hành văn bản (nếu có).</w:t>
      </w:r>
    </w:p>
    <w:p>
      <w:pPr>
        <w:spacing w:before="0" w:after="0" w:lineRule="auto" w:line="312"/>
        <w:jc w:val="both"/>
      </w:pPr>
      <w:r>
        <w:rPr>
          <w:rFonts w:ascii="Times New Roman" w:hAnsi="Times New Roman" w:eastAsia="Times New Roman"/>
          <w:b w:val="0"/>
          <w:i w:val="0"/>
          <w:sz w:val="22"/>
        </w:rPr>
        <w:t>(2) Tên cơ quan, đơn vị tiến hành kiểm tra chuyên ngành ban hành văn bản; ghi bằng chữ in hoa, in đậm và ghi thống nhất tại tất cả các vị trí có chỉ số này.</w:t>
      </w:r>
    </w:p>
    <w:p>
      <w:pPr>
        <w:spacing w:before="0" w:after="0" w:lineRule="auto" w:line="312"/>
        <w:jc w:val="both"/>
      </w:pPr>
      <w:r>
        <w:rPr>
          <w:rFonts w:ascii="Times New Roman" w:hAnsi="Times New Roman" w:eastAsia="Times New Roman"/>
          <w:b w:val="0"/>
          <w:i w:val="0"/>
          <w:sz w:val="22"/>
        </w:rPr>
        <w:t>(3) Ký hiệu văn bản gồm chữ viết tắt tên cơ quan, đơn vị ban hành và chữ viết tắt tên đơn vị soạn thảo theo quy định về công tác văn thư. Ví dụ: Số: 152/SNN-TTr.</w:t>
      </w:r>
    </w:p>
    <w:p>
      <w:pPr>
        <w:spacing w:before="0" w:after="0" w:lineRule="auto" w:line="312"/>
        <w:jc w:val="both"/>
      </w:pPr>
      <w:r>
        <w:rPr>
          <w:rFonts w:ascii="Times New Roman" w:hAnsi="Times New Roman" w:eastAsia="Times New Roman"/>
          <w:b w:val="0"/>
          <w:i w:val="0"/>
          <w:sz w:val="22"/>
        </w:rPr>
        <w:t>(4) Tên cơ quan điều tra có thẩm quyền tiếp nhận, giải quyết vụ việc theo quy định của pháp luật về tố tụng hình sự; ghi rõ tên và địa chỉ.</w:t>
      </w:r>
    </w:p>
    <w:p>
      <w:pPr>
        <w:spacing w:before="0" w:after="0" w:lineRule="auto" w:line="312"/>
        <w:jc w:val="both"/>
      </w:pPr>
      <w:r>
        <w:rPr>
          <w:rFonts w:ascii="Times New Roman" w:hAnsi="Times New Roman" w:eastAsia="Times New Roman"/>
          <w:b w:val="0"/>
          <w:i w:val="0"/>
          <w:sz w:val="22"/>
        </w:rPr>
        <w:t>(5) Chức danh của người ra quyết định kiểm tra hoặc tên cơ quan, đơn vị ban hành quyết định kiểm tra chuyên ngành.</w:t>
      </w:r>
    </w:p>
    <w:p>
      <w:pPr>
        <w:spacing w:before="0" w:after="0" w:lineRule="auto" w:line="312"/>
        <w:jc w:val="both"/>
      </w:pPr>
      <w:r>
        <w:rPr>
          <w:rFonts w:ascii="Times New Roman" w:hAnsi="Times New Roman" w:eastAsia="Times New Roman"/>
          <w:b w:val="0"/>
          <w:i w:val="0"/>
          <w:sz w:val="22"/>
        </w:rPr>
        <w:t>(6) Trích yếu nội dung của quyết định kiểm tra chuyên ngành.</w:t>
      </w:r>
    </w:p>
    <w:p>
      <w:pPr>
        <w:spacing w:before="0" w:after="0" w:lineRule="auto" w:line="312"/>
        <w:jc w:val="both"/>
      </w:pPr>
      <w:r>
        <w:rPr>
          <w:rFonts w:ascii="Times New Roman" w:hAnsi="Times New Roman" w:eastAsia="Times New Roman"/>
          <w:b w:val="0"/>
          <w:i w:val="0"/>
          <w:sz w:val="22"/>
        </w:rPr>
        <w:t>(7) Tên đầy đủ của đối tượng kiểm tra; địa chỉ trụ sở, mã số doanh nghiệp hoặc số giấy phép, giấy chứng nhận (nếu có).</w:t>
      </w:r>
    </w:p>
    <w:p>
      <w:pPr>
        <w:spacing w:before="0" w:after="0" w:lineRule="auto" w:line="312"/>
        <w:jc w:val="both"/>
      </w:pPr>
      <w:r>
        <w:rPr>
          <w:rFonts w:ascii="Times New Roman" w:hAnsi="Times New Roman" w:eastAsia="Times New Roman"/>
          <w:b w:val="0"/>
          <w:i w:val="0"/>
          <w:sz w:val="22"/>
        </w:rPr>
        <w:t>(8) Ghi đầy đủ thông tin nhân thân, pháp nhân của tổ chức, cá nhân có liên quan trực tiếp đến vụ việc; chỉ ghi các thông tin đã thu thập được và có tài liệu chứng minh, không suy đoán.</w:t>
      </w:r>
    </w:p>
    <w:p>
      <w:pPr>
        <w:spacing w:before="0" w:after="0" w:lineRule="auto" w:line="312"/>
        <w:jc w:val="both"/>
      </w:pPr>
      <w:r>
        <w:rPr>
          <w:rFonts w:ascii="Times New Roman" w:hAnsi="Times New Roman" w:eastAsia="Times New Roman"/>
          <w:b w:val="0"/>
          <w:i w:val="0"/>
          <w:sz w:val="22"/>
        </w:rPr>
        <w:t>(9) Trình bày khách quan, theo trình tự thời gian, gắn với số liệu, tài liệu cụ thể; không nhận định về tội danh, không kết luận về việc có tội hay không có tội, việc đó thuộc thẩm quyền của cơ quan tiến hành tố tụng.</w:t>
      </w:r>
    </w:p>
    <w:p>
      <w:pPr>
        <w:spacing w:before="0" w:after="0" w:lineRule="auto" w:line="312"/>
        <w:jc w:val="both"/>
      </w:pPr>
      <w:r>
        <w:rPr>
          <w:rFonts w:ascii="Times New Roman" w:hAnsi="Times New Roman" w:eastAsia="Times New Roman"/>
          <w:b w:val="0"/>
          <w:i w:val="0"/>
          <w:sz w:val="22"/>
        </w:rPr>
        <w:t>(10) Nêu các dấu hiệu, tình tiết cho thấy hành vi có dấu hiệu tội phạm: tính chất, mức độ, thủ đoạn, giá trị thiệt hại, số lần vi phạm, quy mô. Trường hợp xác định được thì nêu tội danh và điều luật dự kiến của Bộ luật Hình sự kèm cụm từ "có dấu hiệu của tội ………"; nếu chưa đủ căn cứ thì không ghi tội danh.</w:t>
      </w:r>
    </w:p>
    <w:p>
      <w:pPr>
        <w:spacing w:before="0" w:after="0" w:lineRule="auto" w:line="312"/>
        <w:jc w:val="both"/>
      </w:pPr>
      <w:r>
        <w:rPr>
          <w:rFonts w:ascii="Times New Roman" w:hAnsi="Times New Roman" w:eastAsia="Times New Roman"/>
          <w:b w:val="0"/>
          <w:i w:val="0"/>
          <w:sz w:val="22"/>
        </w:rPr>
        <w:t>(11) Liệt kê tài liệu, chứng cứ đã thu thập: biên bản kiểm tra, biên bản làm việc, hồ sơ, chứng từ, dữ liệu điện tử, kết quả giám định, kiểm nghiệm, kiểm định (nếu có), lời khai, giải trình bằng văn bản; ghi rõ số, ngày tháng năm của từng tài liệu.</w:t>
      </w:r>
    </w:p>
    <w:p>
      <w:pPr>
        <w:spacing w:before="0" w:after="0" w:lineRule="auto" w:line="312"/>
        <w:jc w:val="both"/>
      </w:pPr>
      <w:r>
        <w:rPr>
          <w:rFonts w:ascii="Times New Roman" w:hAnsi="Times New Roman" w:eastAsia="Times New Roman"/>
          <w:b w:val="0"/>
          <w:i w:val="0"/>
          <w:sz w:val="22"/>
        </w:rPr>
        <w:t>(12) Nêu các biện pháp đã áp dụng theo pháp luật về xử lý vi phạm hành chính, gồm yêu cầu chấm dứt hành vi vi phạm, lập biên bản vi phạm hành chính, biện pháp ngăn chặn đã kiến nghị áp dụng (nếu có); không ghi các biện pháp thuộc hoạt động thanh tra như niêm phong tài liệu, kiểm kê tài sản, phong tỏa tài khoản, thu hồi tiền, tài sản.</w:t>
      </w:r>
    </w:p>
    <w:p>
      <w:pPr>
        <w:spacing w:before="0" w:after="0" w:lineRule="auto" w:line="312"/>
        <w:jc w:val="both"/>
      </w:pPr>
      <w:r>
        <w:rPr>
          <w:rFonts w:ascii="Times New Roman" w:hAnsi="Times New Roman" w:eastAsia="Times New Roman"/>
          <w:b w:val="0"/>
          <w:i w:val="0"/>
          <w:sz w:val="22"/>
        </w:rPr>
        <w:t>(13) Danh mục hồ sơ, tài liệu chuyển giao được lập chi tiết và bàn giao theo Biên bản bàn giao hồ sơ vụ việc, tài liệu có liên quan cho cơ quan điều tra; hồ sơ chuyển giao là bản chính, trường hợp phải giữ lại bản chính để phục vụ xử lý vi phạm hành chính thì chuyển bản sao có xác nhận và ghi rõ nơi lưu bản chính.</w:t>
      </w:r>
    </w:p>
    <w:p>
      <w:pPr>
        <w:spacing w:before="0" w:after="0" w:lineRule="auto" w:line="312"/>
        <w:jc w:val="both"/>
      </w:pPr>
      <w:r>
        <w:rPr>
          <w:rFonts w:ascii="Times New Roman" w:hAnsi="Times New Roman" w:eastAsia="Times New Roman"/>
          <w:b w:val="0"/>
          <w:i w:val="0"/>
          <w:sz w:val="22"/>
        </w:rPr>
        <w:t>(14) Họ và tên, chức vụ, số điện thoại, thư điện tử công vụ của công chức, viên chức được giao làm đầu mối phối hợp với cơ quan điều tra.</w:t>
      </w:r>
    </w:p>
    <w:p>
      <w:pPr>
        <w:spacing w:before="0" w:after="0" w:lineRule="auto" w:line="312"/>
        <w:jc w:val="both"/>
      </w:pPr>
      <w:r>
        <w:rPr>
          <w:rFonts w:ascii="Times New Roman" w:hAnsi="Times New Roman" w:eastAsia="Times New Roman"/>
          <w:b w:val="0"/>
          <w:i w:val="0"/>
          <w:sz w:val="22"/>
        </w:rPr>
        <w:t>(15) Trường hợp hành vi đã chuyển hồ sơ nhưng cơ quan điều tra không khởi tố, đã hủy bỏ quyết định khởi tố hoặc đình chỉ theo quy định thì việc xem xét xử phạt vi phạm hành chính được thực hiện theo pháp luật về xử lý vi phạm hành chính; cơ quan đã chuyển hồ sơ có trách nhiệm theo dõi để xử lý kịp thời, đúng thời hiệu.</w:t>
      </w:r>
    </w:p>
    <w:p>
      <w:pPr>
        <w:spacing w:before="0" w:after="0" w:lineRule="auto" w:line="312"/>
        <w:jc w:val="both"/>
      </w:pPr>
      <w:r>
        <w:rPr>
          <w:rFonts w:ascii="Times New Roman" w:hAnsi="Times New Roman" w:eastAsia="Times New Roman"/>
          <w:b w:val="0"/>
          <w:i w:val="0"/>
          <w:sz w:val="22"/>
        </w:rPr>
        <w:t>(16) Viện kiểm sát nhân dân cùng cấp với cơ quan điều tra để biết, thực hiện chức năng kiểm sát việc tiếp nhận, giải quyết theo quy định của pháp luật.</w:t>
      </w:r>
    </w:p>
    <w:p>
      <w:pPr>
        <w:spacing w:before="0" w:after="0" w:lineRule="auto" w:line="312"/>
        <w:jc w:val="both"/>
      </w:pPr>
      <w:r>
        <w:rPr>
          <w:rFonts w:ascii="Times New Roman" w:hAnsi="Times New Roman" w:eastAsia="Times New Roman"/>
          <w:b w:val="0"/>
          <w:i w:val="0"/>
          <w:sz w:val="22"/>
        </w:rPr>
        <w:t>(17) Thủ trưởng cơ quan quản lý nhà nước cấp trên hoặc người ra quyết định kiểm tra chuyên ngành (trường hợp văn bản do đơn vị tiến hành kiểm tra ban hành) để báo cáo.</w:t>
      </w:r>
    </w:p>
    <w:p>
      <w:pPr>
        <w:spacing w:before="0" w:after="0" w:lineRule="auto" w:line="312"/>
        <w:jc w:val="both"/>
      </w:pPr>
      <w:r>
        <w:rPr>
          <w:rFonts w:ascii="Times New Roman" w:hAnsi="Times New Roman" w:eastAsia="Times New Roman"/>
          <w:b w:val="0"/>
          <w:i w:val="0"/>
          <w:sz w:val="22"/>
        </w:rPr>
        <w:t>(18) Cơ quan, tổ chức, cá nhân có liên quan cần gửi để biết, phối hợp (nếu có); cân nhắc không gửi cho đối tượng kiểm tra khi việc gửi có thể ảnh hưởng đến việc xác minh, giải quyết của cơ quan điều tra.</w:t>
      </w:r>
    </w:p>
    <w:p>
      <w:pPr>
        <w:spacing w:before="0" w:after="0" w:lineRule="auto" w:line="312"/>
        <w:jc w:val="both"/>
      </w:pPr>
      <w:r>
        <w:rPr>
          <w:rFonts w:ascii="Times New Roman" w:hAnsi="Times New Roman" w:eastAsia="Times New Roman"/>
          <w:b w:val="0"/>
          <w:i w:val="0"/>
          <w:sz w:val="22"/>
        </w:rPr>
        <w:t>(19) Chữ viết tắt tên đơn vị soạn thảo và số lượng bản lưu (nếu cần); HSKT là hồ sơ kiểm tra.</w:t>
      </w:r>
    </w:p>
    <w:p>
      <w:pPr>
        <w:spacing w:before="0" w:after="0" w:lineRule="auto" w:line="312"/>
        <w:jc w:val="both"/>
      </w:pPr>
      <w:r>
        <w:rPr>
          <w:rFonts w:ascii="Times New Roman" w:hAnsi="Times New Roman" w:eastAsia="Times New Roman"/>
          <w:b w:val="0"/>
          <w:i w:val="0"/>
          <w:sz w:val="22"/>
        </w:rPr>
        <w:t>(20) Chức vụ của người ký ban hành văn bản là người ra quyết định kiểm tra chuyên ngành hoặc người đứng đầu cơ quan, đơn vị tiến hành kiểm tra chuyên ngành; trường hợp ký thay thì thể hiện hình thức ký thay và chức vụ của người ký thay theo quy định về công tác văn thư.</w:t>
      </w:r>
    </w:p>
    <w:p>
      <w:pPr>
        <w:spacing w:before="0" w:after="0" w:lineRule="auto" w:line="312"/>
        <w:jc w:val="both"/>
      </w:pPr>
      <w:r>
        <w:rPr>
          <w:rFonts w:ascii="Times New Roman" w:hAnsi="Times New Roman" w:eastAsia="Times New Roman"/>
          <w:b w:val="0"/>
          <w:i w:val="0"/>
          <w:sz w:val="22"/>
        </w:rPr>
        <w:t>* Văn bản này được ban hành theo điểm d khoản 3 Điều 15 của Nghị định số 217/2025/NĐ-CP: trường hợp phát hiện dấu hiệu tội phạm, Trưởng đoàn kiểm tra báo cáo người ra quyết định kiểm tra chuyên ngành để kiến nghị khởi tố và chuyển hồ sơ vụ việc, tài liệu có liên quan đến cơ quan điều tra xem xét, quyết định việc khởi tố vụ án hình sự theo quy định của pháp luật; phù hợp với điểm c khoản 2 Điều 7 của Nghị định số 217/2025/NĐ-CP về việc chuyển thông tin đến cơ quan điều tra khi có dấu hiệu tội phạm.</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