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……/……(3)</w:t>
            </w:r>
          </w:p>
          <w:p>
            <w:pPr>
              <w:spacing w:before="0" w:after="0" w:lineRule="auto" w:line="276"/>
              <w:jc w:val="center"/>
            </w:pPr>
            <w:r>
              <w:rPr>
                <w:rFonts w:ascii="Times New Roman" w:hAnsi="Times New Roman" w:eastAsia="Times New Roman"/>
                <w:b w:val="0"/>
                <w:i/>
                <w:sz w:val="24"/>
              </w:rPr>
              <w:t>V/v đôn đốc thực hiện quyết định xử lý về kiểm tra chuyên ngành</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4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Kính gửi: ……………………………………… (4)</w:t>
      </w:r>
    </w:p>
    <w:p>
      <w:pPr>
        <w:spacing w:before="0" w:after="0" w:lineRule="auto" w:line="312"/>
        <w:ind w:firstLine="567"/>
        <w:jc w:val="left"/>
      </w:pPr>
      <w:r>
        <w:rPr>
          <w:rFonts w:ascii="Times New Roman" w:hAnsi="Times New Roman" w:eastAsia="Times New Roman"/>
          <w:b w:val="0"/>
          <w:i/>
          <w:sz w:val="26"/>
        </w:rPr>
        <w:t>(Địa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 ……………… (5) đã ban hành ……………… (6) đối với ……………… (4) sau cuộc kiểm tra chuyên ngành theo Quyết định kiểm tra số ………… ngày …… tháng …… năm ……… về việc ……………… (7).</w:t>
      </w:r>
    </w:p>
    <w:p>
      <w:pPr>
        <w:spacing w:before="0" w:after="0" w:lineRule="auto" w:line="312"/>
        <w:ind w:firstLine="567"/>
        <w:jc w:val="both"/>
      </w:pPr>
      <w:r>
        <w:rPr>
          <w:rFonts w:ascii="Times New Roman" w:hAnsi="Times New Roman" w:eastAsia="Times New Roman"/>
          <w:b w:val="0"/>
          <w:i w:val="0"/>
          <w:sz w:val="26"/>
        </w:rPr>
        <w:t>Theo kết quả theo dõi, đôn đốc của ……………… (8), đến ngày …… tháng …… năm ………, ……………… (4) chưa thực hiện hoặc thực hiện chưa đầy đủ các nội dung sau đây:</w:t>
      </w:r>
    </w:p>
    <w:p>
      <w:pPr>
        <w:spacing w:before="0" w:after="40" w:lineRule="auto" w:line="312"/>
        <w:jc w:val="left"/>
      </w:pPr>
      <w:r>
        <w:rPr>
          <w:rFonts w:ascii="Times New Roman" w:hAnsi="Times New Roman" w:eastAsia="Times New Roman"/>
          <w:b w:val="0"/>
          <w:i w:val="0"/>
          <w:sz w:val="26"/>
        </w:rPr>
      </w:r>
    </w:p>
    <w:tbl>
      <w:tblPr>
        <w:tblStyle w:val="TableGrid"/>
        <w:tblW w:type="auto" w:w="0"/>
        <w:tblLayout w:type="fixed"/>
        <w:tblLook w:firstColumn="1" w:firstRow="1" w:lastColumn="0" w:lastRow="0" w:noHBand="0" w:noVBand="1" w:val="04A0"/>
      </w:tblPr>
      <w:tblGrid>
        <w:gridCol w:w="680"/>
        <w:gridCol w:w="3118"/>
        <w:gridCol w:w="1417"/>
        <w:gridCol w:w="2438"/>
        <w:gridCol w:w="1701"/>
      </w:tblGrid>
      <w:tr>
        <w:tc>
          <w:tcPr>
            <w:tcW w:type="dxa" w:w="680"/>
          </w:tcPr>
          <w:p>
            <w:pPr>
              <w:spacing w:before="0" w:after="0"/>
              <w:jc w:val="center"/>
            </w:pPr>
            <w:r>
              <w:rPr>
                <w:rFonts w:ascii="Times New Roman" w:hAnsi="Times New Roman" w:eastAsia="Times New Roman"/>
                <w:b/>
                <w:i w:val="0"/>
                <w:sz w:val="24"/>
              </w:rPr>
              <w:t>STT</w:t>
            </w:r>
          </w:p>
        </w:tc>
        <w:tc>
          <w:tcPr>
            <w:tcW w:type="dxa" w:w="3118"/>
          </w:tcPr>
          <w:p>
            <w:pPr>
              <w:spacing w:before="0" w:after="0"/>
              <w:jc w:val="center"/>
            </w:pPr>
            <w:r>
              <w:rPr>
                <w:rFonts w:ascii="Times New Roman" w:hAnsi="Times New Roman" w:eastAsia="Times New Roman"/>
                <w:b/>
                <w:i w:val="0"/>
                <w:sz w:val="24"/>
              </w:rPr>
              <w:t>Nội dung phải thực hiện theo quyết định xử lý, văn bản yêu cầu chấn chỉnh, khắc phục (9)</w:t>
            </w:r>
          </w:p>
        </w:tc>
        <w:tc>
          <w:tcPr>
            <w:tcW w:type="dxa" w:w="1417"/>
          </w:tcPr>
          <w:p>
            <w:pPr>
              <w:spacing w:before="0" w:after="0"/>
              <w:jc w:val="center"/>
            </w:pPr>
            <w:r>
              <w:rPr>
                <w:rFonts w:ascii="Times New Roman" w:hAnsi="Times New Roman" w:eastAsia="Times New Roman"/>
                <w:b/>
                <w:i w:val="0"/>
                <w:sz w:val="24"/>
              </w:rPr>
              <w:t>Thời hạn phải hoàn thành</w:t>
            </w:r>
          </w:p>
        </w:tc>
        <w:tc>
          <w:tcPr>
            <w:tcW w:type="dxa" w:w="2438"/>
          </w:tcPr>
          <w:p>
            <w:pPr>
              <w:spacing w:before="0" w:after="0"/>
              <w:jc w:val="center"/>
            </w:pPr>
            <w:r>
              <w:rPr>
                <w:rFonts w:ascii="Times New Roman" w:hAnsi="Times New Roman" w:eastAsia="Times New Roman"/>
                <w:b/>
                <w:i w:val="0"/>
                <w:sz w:val="24"/>
              </w:rPr>
              <w:t>Kết quả thực hiện đến thời điểm đôn đốc (10)</w:t>
            </w:r>
          </w:p>
        </w:tc>
        <w:tc>
          <w:tcPr>
            <w:tcW w:type="dxa" w:w="1701"/>
          </w:tcPr>
          <w:p>
            <w:pPr>
              <w:spacing w:before="0" w:after="0"/>
              <w:jc w:val="center"/>
            </w:pPr>
            <w:r>
              <w:rPr>
                <w:rFonts w:ascii="Times New Roman" w:hAnsi="Times New Roman" w:eastAsia="Times New Roman"/>
                <w:b/>
                <w:i w:val="0"/>
                <w:sz w:val="24"/>
              </w:rPr>
              <w:t>Ghi chú (11)</w:t>
            </w:r>
          </w:p>
        </w:tc>
      </w:tr>
      <w:tr>
        <w:tc>
          <w:tcPr>
            <w:tcW w:type="dxa" w:w="680"/>
          </w:tcPr>
          <w:p>
            <w:pPr>
              <w:spacing w:before="0" w:after="0"/>
              <w:jc w:val="left"/>
            </w:pPr>
            <w:r>
              <w:rPr>
                <w:rFonts w:ascii="Times New Roman" w:hAnsi="Times New Roman" w:eastAsia="Times New Roman"/>
                <w:b w:val="0"/>
                <w:i w:val="0"/>
                <w:sz w:val="24"/>
              </w:rPr>
              <w:t>1</w:t>
            </w:r>
          </w:p>
        </w:tc>
        <w:tc>
          <w:tcPr>
            <w:tcW w:type="dxa" w:w="3118"/>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243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2</w:t>
            </w:r>
          </w:p>
        </w:tc>
        <w:tc>
          <w:tcPr>
            <w:tcW w:type="dxa" w:w="3118"/>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243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3</w:t>
            </w:r>
          </w:p>
        </w:tc>
        <w:tc>
          <w:tcPr>
            <w:tcW w:type="dxa" w:w="3118"/>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243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r>
        <w:tc>
          <w:tcPr>
            <w:tcW w:type="dxa" w:w="680"/>
          </w:tcPr>
          <w:p>
            <w:pPr>
              <w:spacing w:before="0" w:after="0"/>
              <w:jc w:val="left"/>
            </w:pPr>
            <w:r>
              <w:rPr>
                <w:rFonts w:ascii="Times New Roman" w:hAnsi="Times New Roman" w:eastAsia="Times New Roman"/>
                <w:b w:val="0"/>
                <w:i w:val="0"/>
                <w:sz w:val="24"/>
              </w:rPr>
              <w:t>…</w:t>
            </w:r>
          </w:p>
        </w:tc>
        <w:tc>
          <w:tcPr>
            <w:tcW w:type="dxa" w:w="3118"/>
          </w:tcPr>
          <w:p>
            <w:pPr>
              <w:spacing w:before="0" w:after="0"/>
              <w:jc w:val="left"/>
            </w:pPr>
            <w:r>
              <w:rPr>
                <w:rFonts w:ascii="Times New Roman" w:hAnsi="Times New Roman" w:eastAsia="Times New Roman"/>
                <w:b w:val="0"/>
                <w:i w:val="0"/>
                <w:sz w:val="24"/>
              </w:rPr>
            </w:r>
          </w:p>
        </w:tc>
        <w:tc>
          <w:tcPr>
            <w:tcW w:type="dxa" w:w="1417"/>
          </w:tcPr>
          <w:p>
            <w:pPr>
              <w:spacing w:before="0" w:after="0"/>
              <w:jc w:val="left"/>
            </w:pPr>
            <w:r>
              <w:rPr>
                <w:rFonts w:ascii="Times New Roman" w:hAnsi="Times New Roman" w:eastAsia="Times New Roman"/>
                <w:b w:val="0"/>
                <w:i w:val="0"/>
                <w:sz w:val="24"/>
              </w:rPr>
            </w:r>
          </w:p>
        </w:tc>
        <w:tc>
          <w:tcPr>
            <w:tcW w:type="dxa" w:w="2438"/>
          </w:tcPr>
          <w:p>
            <w:pPr>
              <w:spacing w:before="0" w:after="0"/>
              <w:jc w:val="left"/>
            </w:pPr>
            <w:r>
              <w:rPr>
                <w:rFonts w:ascii="Times New Roman" w:hAnsi="Times New Roman" w:eastAsia="Times New Roman"/>
                <w:b w:val="0"/>
                <w:i w:val="0"/>
                <w:sz w:val="24"/>
              </w:rPr>
            </w:r>
          </w:p>
        </w:tc>
        <w:tc>
          <w:tcPr>
            <w:tcW w:type="dxa" w:w="1701"/>
          </w:tcPr>
          <w:p>
            <w:pPr>
              <w:spacing w:before="0" w:after="0"/>
              <w:jc w:val="left"/>
            </w:pPr>
            <w:r>
              <w:rPr>
                <w:rFonts w:ascii="Times New Roman" w:hAnsi="Times New Roman" w:eastAsia="Times New Roman"/>
                <w:b w:val="0"/>
                <w:i w:val="0"/>
                <w:sz w:val="24"/>
              </w:rPr>
            </w:r>
          </w:p>
        </w:tc>
      </w:tr>
    </w:tbl>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Để bảo đảm các quyết định xử lý về kiểm tra chuyên ngành được thực hiện đúng, đầy đủ theo quy định tại Điều 16 của Nghị định số 217/2025/NĐ-CP, ……………… (2) đề nghị ……………… (4) thực hiện các nội dung sau:</w:t>
      </w:r>
    </w:p>
    <w:p>
      <w:pPr>
        <w:spacing w:before="0" w:after="0" w:lineRule="auto" w:line="312"/>
        <w:ind w:firstLine="567"/>
        <w:jc w:val="both"/>
      </w:pPr>
      <w:r>
        <w:rPr>
          <w:rFonts w:ascii="Times New Roman" w:hAnsi="Times New Roman" w:eastAsia="Times New Roman"/>
          <w:b w:val="0"/>
          <w:i w:val="0"/>
          <w:sz w:val="26"/>
        </w:rPr>
        <w:t>1. Khẩn trương thực hiện đầy đủ các nội dung nêu tại bảng trên; hoàn thành trước ngày …… tháng …… năm ……… (12).</w:t>
      </w:r>
    </w:p>
    <w:p>
      <w:pPr>
        <w:spacing w:before="0" w:after="0" w:lineRule="auto" w:line="312"/>
        <w:ind w:firstLine="567"/>
        <w:jc w:val="both"/>
      </w:pPr>
      <w:r>
        <w:rPr>
          <w:rFonts w:ascii="Times New Roman" w:hAnsi="Times New Roman" w:eastAsia="Times New Roman"/>
          <w:b w:val="0"/>
          <w:i w:val="0"/>
          <w:sz w:val="26"/>
        </w:rPr>
        <w:t>2. Báo cáo bằng văn bản về nguyên nhân chưa thực hiện hoặc thực hiện chưa đầy đủ; xác định rõ trách nhiệm của tập thể, cá nhân có liên quan và biện pháp, lộ trình khắc phục (13).</w:t>
      </w:r>
    </w:p>
    <w:p>
      <w:pPr>
        <w:spacing w:before="0" w:after="0" w:lineRule="auto" w:line="312"/>
        <w:ind w:firstLine="567"/>
        <w:jc w:val="both"/>
      </w:pPr>
      <w:r>
        <w:rPr>
          <w:rFonts w:ascii="Times New Roman" w:hAnsi="Times New Roman" w:eastAsia="Times New Roman"/>
          <w:b w:val="0"/>
          <w:i w:val="0"/>
          <w:sz w:val="26"/>
        </w:rPr>
        <w:t>3. Gửi báo cáo kết quả thực hiện kèm theo hồ sơ, tài liệu chứng minh về ……………… (8) trước ngày …… tháng …… năm ………; đồng thời cử đầu mối phối hợp: ông (bà) ………………, chức vụ ………………, số điện thoại ………………, thư điện tử ……………… (14).</w:t>
      </w:r>
    </w:p>
    <w:p>
      <w:pPr>
        <w:spacing w:before="0" w:after="0" w:lineRule="auto" w:line="312"/>
        <w:ind w:firstLine="567"/>
        <w:jc w:val="both"/>
      </w:pPr>
      <w:r>
        <w:rPr>
          <w:rFonts w:ascii="Times New Roman" w:hAnsi="Times New Roman" w:eastAsia="Times New Roman"/>
          <w:b w:val="0"/>
          <w:i w:val="0"/>
          <w:sz w:val="26"/>
        </w:rPr>
        <w:t>4. Đối với nội dung không thể thực hiện được do nguyên nhân khách quan, phải có văn bản nêu rõ lý do, tài liệu chứng minh và đề xuất phương án xử lý gửi ……………… (2) xem xét, quyết định (15).</w:t>
      </w:r>
    </w:p>
    <w:p>
      <w:pPr>
        <w:spacing w:before="0" w:after="0" w:lineRule="auto" w:line="312"/>
        <w:ind w:firstLine="567"/>
        <w:jc w:val="both"/>
      </w:pPr>
      <w:r>
        <w:rPr>
          <w:rFonts w:ascii="Times New Roman" w:hAnsi="Times New Roman" w:eastAsia="Times New Roman"/>
          <w:b w:val="0"/>
          <w:i w:val="0"/>
          <w:sz w:val="26"/>
        </w:rPr>
        <w:t>Quá thời hạn nêu trên mà ……………… (4) không thực hiện hoặc thực hiện không đầy đủ mà không có lý do chính đáng thì bị xử lý theo quy định tại Điều 17 của Nghị định số 217/2025/NĐ-CP và quy định của pháp luật có liên quan; ……………… (2) sẽ báo cáo ……………… (16) để có biện pháp xử lý, bảo đảm thực hiện đúng, đầy đủ các quyết định xử lý về kiểm tra chuyên ngành theo khoản 1 Điều 16 của Nghị định số 217/2025/NĐ-CP.</w:t>
      </w:r>
    </w:p>
    <w:p>
      <w:pPr>
        <w:spacing w:before="0" w:after="0" w:lineRule="auto" w:line="312"/>
        <w:ind w:firstLine="567"/>
        <w:jc w:val="left"/>
      </w:pPr>
      <w:r>
        <w:rPr>
          <w:rFonts w:ascii="Times New Roman" w:hAnsi="Times New Roman" w:eastAsia="Times New Roman"/>
          <w:b w:val="0"/>
          <w:i w:val="0"/>
          <w:sz w:val="26"/>
        </w:rPr>
        <w:t>Đề nghị ……………………………… (4) nghiêm túc thực hiện./.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 (16) (để báo cáo);</w:t>
            </w:r>
          </w:p>
          <w:p>
            <w:pPr>
              <w:spacing w:before="0" w:after="0" w:lineRule="auto" w:line="276"/>
              <w:jc w:val="left"/>
            </w:pPr>
            <w:r>
              <w:rPr>
                <w:rFonts w:ascii="Times New Roman" w:hAnsi="Times New Roman" w:eastAsia="Times New Roman"/>
                <w:b w:val="0"/>
                <w:i w:val="0"/>
                <w:sz w:val="22"/>
              </w:rPr>
              <w:t>- ……………………… (17);</w:t>
            </w:r>
          </w:p>
          <w:p>
            <w:pPr>
              <w:spacing w:before="0" w:after="0" w:lineRule="auto" w:line="276"/>
              <w:jc w:val="left"/>
            </w:pPr>
            <w:r>
              <w:rPr>
                <w:rFonts w:ascii="Times New Roman" w:hAnsi="Times New Roman" w:eastAsia="Times New Roman"/>
                <w:b w:val="0"/>
                <w:i w:val="0"/>
                <w:sz w:val="22"/>
              </w:rPr>
              <w:t>- ……………………… (8) (để thực hiện);</w:t>
            </w:r>
          </w:p>
          <w:p>
            <w:pPr>
              <w:spacing w:before="0" w:after="0" w:lineRule="auto" w:line="276"/>
              <w:jc w:val="left"/>
            </w:pPr>
            <w:r>
              <w:rPr>
                <w:rFonts w:ascii="Times New Roman" w:hAnsi="Times New Roman" w:eastAsia="Times New Roman"/>
                <w:b w:val="0"/>
                <w:i w:val="0"/>
                <w:sz w:val="22"/>
              </w:rPr>
              <w:t>- Lưu: VT, ………(18), HSKT.</w:t>
            </w:r>
          </w:p>
        </w:tc>
        <w:tc>
          <w:tcPr>
            <w:tcW w:type="dxa" w:w="4819"/>
          </w:tcPr>
          <w:p>
            <w:pPr>
              <w:spacing w:before="0" w:after="0" w:lineRule="auto" w:line="276"/>
              <w:jc w:val="center"/>
            </w:pPr>
            <w:r>
              <w:rPr>
                <w:rFonts w:ascii="Times New Roman" w:hAnsi="Times New Roman" w:eastAsia="Times New Roman"/>
                <w:b/>
                <w:i w:val="0"/>
                <w:sz w:val="26"/>
              </w:rPr>
              <w:t>……………………………… (19)</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văn bản (nếu có).</w:t>
      </w:r>
    </w:p>
    <w:p>
      <w:pPr>
        <w:spacing w:before="0" w:after="0" w:lineRule="auto" w:line="312"/>
        <w:jc w:val="both"/>
      </w:pPr>
      <w:r>
        <w:rPr>
          <w:rFonts w:ascii="Times New Roman" w:hAnsi="Times New Roman" w:eastAsia="Times New Roman"/>
          <w:b w:val="0"/>
          <w:i w:val="0"/>
          <w:sz w:val="22"/>
        </w:rPr>
        <w:t>(2) Tên cơ quan, đơn vị tiến hành kiểm tra chuyên ngành ban hành văn bản đôn đốc; ghi bằng chữ in hoa, in đậm và ghi thống nhất tại tất cả các vị trí có chỉ số này.</w:t>
      </w:r>
    </w:p>
    <w:p>
      <w:pPr>
        <w:spacing w:before="0" w:after="0" w:lineRule="auto" w:line="312"/>
        <w:jc w:val="both"/>
      </w:pPr>
      <w:r>
        <w:rPr>
          <w:rFonts w:ascii="Times New Roman" w:hAnsi="Times New Roman" w:eastAsia="Times New Roman"/>
          <w:b w:val="0"/>
          <w:i w:val="0"/>
          <w:sz w:val="22"/>
        </w:rPr>
        <w:t>(3) Ký hiệu văn bản gồm chữ viết tắt tên cơ quan, đơn vị ban hành và chữ viết tắt tên đơn vị soạn thảo theo quy định về công tác văn thư. Ví dụ: Số: 318/CCQLTT-NV.</w:t>
      </w:r>
    </w:p>
    <w:p>
      <w:pPr>
        <w:spacing w:before="0" w:after="0" w:lineRule="auto" w:line="312"/>
        <w:jc w:val="both"/>
      </w:pPr>
      <w:r>
        <w:rPr>
          <w:rFonts w:ascii="Times New Roman" w:hAnsi="Times New Roman" w:eastAsia="Times New Roman"/>
          <w:b w:val="0"/>
          <w:i w:val="0"/>
          <w:sz w:val="22"/>
        </w:rPr>
        <w:t>(4) Đối tượng phải thực hiện quyết định xử lý về kiểm tra chuyên ngành: đối tượng kiểm tra hoặc cơ quan, tổ chức, cá nhân có liên quan; ghi tên đầy đủ, thống nhất tại tất cả các vị trí có chỉ số này.</w:t>
      </w:r>
    </w:p>
    <w:p>
      <w:pPr>
        <w:spacing w:before="0" w:after="0" w:lineRule="auto" w:line="312"/>
        <w:jc w:val="both"/>
      </w:pPr>
      <w:r>
        <w:rPr>
          <w:rFonts w:ascii="Times New Roman" w:hAnsi="Times New Roman" w:eastAsia="Times New Roman"/>
          <w:b w:val="0"/>
          <w:i w:val="0"/>
          <w:sz w:val="22"/>
        </w:rPr>
        <w:t>(5) Chức danh của người hoặc tên cơ quan đã ban hành quyết định xử lý, văn bản yêu cầu chấn chỉnh, khắc phục cần được đôn đốc.</w:t>
      </w:r>
    </w:p>
    <w:p>
      <w:pPr>
        <w:spacing w:before="0" w:after="0" w:lineRule="auto" w:line="312"/>
        <w:jc w:val="both"/>
      </w:pPr>
      <w:r>
        <w:rPr>
          <w:rFonts w:ascii="Times New Roman" w:hAnsi="Times New Roman" w:eastAsia="Times New Roman"/>
          <w:b w:val="0"/>
          <w:i w:val="0"/>
          <w:sz w:val="22"/>
        </w:rPr>
        <w:t>(6) Tên, số, ký hiệu và trích yếu của văn bản cần đôn đốc: quyết định xử phạt vi phạm hành chính, quyết định khác theo pháp luật về xử lý vi phạm hành chính hoặc văn bản yêu cầu chấn chỉnh, khắc phục tồn tại, hạn chế sau kiểm tra chuyên ngành. Ví dụ: "Quyết định số 45/QĐ-XPHC ngày …/…/20… về xử phạt vi phạm hành chính"; "Văn bản số 120/……-…… ngày …/…/20… về chấn chỉnh, khắc phục tồn tại, hạn chế sau kiểm tra chuyên ngành". Không ghi là kết luận kiểm tra.</w:t>
      </w:r>
    </w:p>
    <w:p>
      <w:pPr>
        <w:spacing w:before="0" w:after="0" w:lineRule="auto" w:line="312"/>
        <w:jc w:val="both"/>
      </w:pPr>
      <w:r>
        <w:rPr>
          <w:rFonts w:ascii="Times New Roman" w:hAnsi="Times New Roman" w:eastAsia="Times New Roman"/>
          <w:b w:val="0"/>
          <w:i w:val="0"/>
          <w:sz w:val="22"/>
        </w:rPr>
        <w:t>(7) Trích yếu nội dung của quyết định kiểm tra chuyên ngành đã tiến hành.</w:t>
      </w:r>
    </w:p>
    <w:p>
      <w:pPr>
        <w:spacing w:before="0" w:after="0" w:lineRule="auto" w:line="312"/>
        <w:jc w:val="both"/>
      </w:pPr>
      <w:r>
        <w:rPr>
          <w:rFonts w:ascii="Times New Roman" w:hAnsi="Times New Roman" w:eastAsia="Times New Roman"/>
          <w:b w:val="0"/>
          <w:i w:val="0"/>
          <w:sz w:val="22"/>
        </w:rPr>
        <w:t>(8) Cơ quan, đơn vị được giao chủ trì cuộc kiểm tra, theo dõi, đôn đốc việc thực hiện quyết định xử lý về kiểm tra chuyên ngành.</w:t>
      </w:r>
    </w:p>
    <w:p>
      <w:pPr>
        <w:spacing w:before="0" w:after="0" w:lineRule="auto" w:line="312"/>
        <w:jc w:val="both"/>
      </w:pPr>
      <w:r>
        <w:rPr>
          <w:rFonts w:ascii="Times New Roman" w:hAnsi="Times New Roman" w:eastAsia="Times New Roman"/>
          <w:b w:val="0"/>
          <w:i w:val="0"/>
          <w:sz w:val="22"/>
        </w:rPr>
        <w:t>(9) Ghi từng nội dung, yêu cầu cụ thể đã nêu trong quyết định xử lý hoặc văn bản yêu cầu chấn chỉnh, khắc phục; dẫn chiếu rõ điều, khoản, mục của văn bản đó.</w:t>
      </w:r>
    </w:p>
    <w:p>
      <w:pPr>
        <w:spacing w:before="0" w:after="0" w:lineRule="auto" w:line="312"/>
        <w:jc w:val="both"/>
      </w:pPr>
      <w:r>
        <w:rPr>
          <w:rFonts w:ascii="Times New Roman" w:hAnsi="Times New Roman" w:eastAsia="Times New Roman"/>
          <w:b w:val="0"/>
          <w:i w:val="0"/>
          <w:sz w:val="22"/>
        </w:rPr>
        <w:t>(10) Ghi rõ tình trạng: chưa thực hiện; đã thực hiện một phần (nêu khối lượng, tỷ lệ đã thực hiện); đã thực hiện nhưng chưa có tài liệu chứng minh. Ví dụ: "Mới nộp 20/50 triệu đồng tiền phạt"; "Đã ban hành quy trình nhưng chưa triển khai".</w:t>
      </w:r>
    </w:p>
    <w:p>
      <w:pPr>
        <w:spacing w:before="0" w:after="0" w:lineRule="auto" w:line="312"/>
        <w:jc w:val="both"/>
      </w:pPr>
      <w:r>
        <w:rPr>
          <w:rFonts w:ascii="Times New Roman" w:hAnsi="Times New Roman" w:eastAsia="Times New Roman"/>
          <w:b w:val="0"/>
          <w:i w:val="0"/>
          <w:sz w:val="22"/>
        </w:rPr>
        <w:t>(11) Ghi số, ngày của văn bản đôn đốc trước đó (nếu có), lý do do đối tượng nêu và các thông tin cần lưu ý khác.</w:t>
      </w:r>
    </w:p>
    <w:p>
      <w:pPr>
        <w:spacing w:before="0" w:after="0" w:lineRule="auto" w:line="312"/>
        <w:jc w:val="both"/>
      </w:pPr>
      <w:r>
        <w:rPr>
          <w:rFonts w:ascii="Times New Roman" w:hAnsi="Times New Roman" w:eastAsia="Times New Roman"/>
          <w:b w:val="0"/>
          <w:i w:val="0"/>
          <w:sz w:val="22"/>
        </w:rPr>
        <w:t>(12) Thời hạn hoàn thành phải cụ thể, hợp lý; đối với quyết định xử phạt vi phạm hành chính thì thời hạn thi hành thực hiện theo pháp luật về xử lý vi phạm hành chính, văn bản này chỉ có tính chất đôn đốc, không thay thế, không kéo dài thời hạn thi hành đã ấn định.</w:t>
      </w:r>
    </w:p>
    <w:p>
      <w:pPr>
        <w:spacing w:before="0" w:after="0" w:lineRule="auto" w:line="312"/>
        <w:jc w:val="both"/>
      </w:pPr>
      <w:r>
        <w:rPr>
          <w:rFonts w:ascii="Times New Roman" w:hAnsi="Times New Roman" w:eastAsia="Times New Roman"/>
          <w:b w:val="0"/>
          <w:i w:val="0"/>
          <w:sz w:val="22"/>
        </w:rPr>
        <w:t>(13) Nêu rõ yêu cầu về hình thức báo cáo, thời hạn gửi báo cáo giải trình nguyên nhân chưa hoàn thành.</w:t>
      </w:r>
    </w:p>
    <w:p>
      <w:pPr>
        <w:spacing w:before="0" w:after="0" w:lineRule="auto" w:line="312"/>
        <w:jc w:val="both"/>
      </w:pPr>
      <w:r>
        <w:rPr>
          <w:rFonts w:ascii="Times New Roman" w:hAnsi="Times New Roman" w:eastAsia="Times New Roman"/>
          <w:b w:val="0"/>
          <w:i w:val="0"/>
          <w:sz w:val="22"/>
        </w:rPr>
        <w:t>(14) Thông tin đầu mối liên hệ của đối tượng thực hiện để thuận lợi cho việc theo dõi, đôn đốc.</w:t>
      </w:r>
    </w:p>
    <w:p>
      <w:pPr>
        <w:spacing w:before="0" w:after="0" w:lineRule="auto" w:line="312"/>
        <w:jc w:val="both"/>
      </w:pPr>
      <w:r>
        <w:rPr>
          <w:rFonts w:ascii="Times New Roman" w:hAnsi="Times New Roman" w:eastAsia="Times New Roman"/>
          <w:b w:val="0"/>
          <w:i w:val="0"/>
          <w:sz w:val="22"/>
        </w:rPr>
        <w:t>(15) Chỉ áp dụng đối với nội dung không thể thực hiện do nguyên nhân khách quan như thiên tai, hỏa hoạn, thay đổi tổ chức, giải thể, phá sản; người ban hành văn bản đôn đốc xem xét, quyết định hoặc báo cáo cấp có thẩm quyền theo quy định.</w:t>
      </w:r>
    </w:p>
    <w:p>
      <w:pPr>
        <w:spacing w:before="0" w:after="0" w:lineRule="auto" w:line="312"/>
        <w:jc w:val="both"/>
      </w:pPr>
      <w:r>
        <w:rPr>
          <w:rFonts w:ascii="Times New Roman" w:hAnsi="Times New Roman" w:eastAsia="Times New Roman"/>
          <w:b w:val="0"/>
          <w:i w:val="0"/>
          <w:sz w:val="22"/>
        </w:rPr>
        <w:t>(16) Thủ trưởng cơ quan quản lý nhà nước cấp trên để báo cáo, đề nghị có biện pháp xử lý trong trường hợp cần thiết.</w:t>
      </w:r>
    </w:p>
    <w:p>
      <w:pPr>
        <w:spacing w:before="0" w:after="0" w:lineRule="auto" w:line="312"/>
        <w:jc w:val="both"/>
      </w:pPr>
      <w:r>
        <w:rPr>
          <w:rFonts w:ascii="Times New Roman" w:hAnsi="Times New Roman" w:eastAsia="Times New Roman"/>
          <w:b w:val="0"/>
          <w:i w:val="0"/>
          <w:sz w:val="22"/>
        </w:rPr>
        <w:t>(17) Cơ quan quản lý cấp trên của đối tượng thực hiện, cơ quan cấp phép, cơ quan, tổ chức, cá nhân có liên quan cần gửi để biết, phối hợp (nếu có).</w:t>
      </w:r>
    </w:p>
    <w:p>
      <w:pPr>
        <w:spacing w:before="0" w:after="0" w:lineRule="auto" w:line="312"/>
        <w:jc w:val="both"/>
      </w:pPr>
      <w:r>
        <w:rPr>
          <w:rFonts w:ascii="Times New Roman" w:hAnsi="Times New Roman" w:eastAsia="Times New Roman"/>
          <w:b w:val="0"/>
          <w:i w:val="0"/>
          <w:sz w:val="22"/>
        </w:rPr>
        <w:t>(18) Chữ viết tắt tên đơn vị soạn thảo và số lượng bản lưu (nếu cần); HSKT là hồ sơ kiểm tra.</w:t>
      </w:r>
    </w:p>
    <w:p>
      <w:pPr>
        <w:spacing w:before="0" w:after="0" w:lineRule="auto" w:line="312"/>
        <w:jc w:val="both"/>
      </w:pPr>
      <w:r>
        <w:rPr>
          <w:rFonts w:ascii="Times New Roman" w:hAnsi="Times New Roman" w:eastAsia="Times New Roman"/>
          <w:b w:val="0"/>
          <w:i w:val="0"/>
          <w:sz w:val="22"/>
        </w:rPr>
        <w:t>(19) Chức vụ của người ký ban hành văn bản là người đứng đầu cơ quan, đơn vị tiến hành kiểm tra chuyên ngành; trường hợp ký thay thì thể hiện hình thức ký thay và chức vụ của người ký thay theo quy định về công tác văn thư.</w:t>
      </w:r>
    </w:p>
    <w:p>
      <w:pPr>
        <w:spacing w:before="0" w:after="0" w:lineRule="auto" w:line="312"/>
        <w:jc w:val="both"/>
      </w:pPr>
      <w:r>
        <w:rPr>
          <w:rFonts w:ascii="Times New Roman" w:hAnsi="Times New Roman" w:eastAsia="Times New Roman"/>
          <w:b w:val="0"/>
          <w:i w:val="0"/>
          <w:sz w:val="22"/>
        </w:rPr>
        <w:t>* Văn bản này được ban hành theo khoản 1 Điều 16 của Nghị định số 217/2025/NĐ-CP về trách nhiệm chỉ đạo, tổ chức việc theo dõi, đôn đốc thực hiện quyết định xử phạt vi phạm hành chính, các quyết định khác và văn bản yêu cầu chấn chỉnh, khắc phục tồn tại, hạn chế sau kiểm tra chuyên ngành; trách nhiệm thực hiện của đối tượng kiểm tra theo khoản 2 Điều 16, điểm c khoản 2 Điều 9 và của cơ quan, tổ chức, cá nhân có liên quan theo khoản 1 Điều 10; việc xử lý vi phạm theo Điều 17 của Nghị định số 217/2025/NĐ-CP.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