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082"/>
        <w:gridCol w:w="5272"/>
      </w:tblGrid>
      <w:tr>
        <w:tc>
          <w:tcPr>
            <w:tcW w:type="dxa" w:w="4082"/>
          </w:tcPr>
          <w:p>
            <w:pPr>
              <w:spacing w:before="0" w:after="0" w:lineRule="auto" w:line="276"/>
              <w:jc w:val="center"/>
            </w:pPr>
            <w:r>
              <w:rPr>
                <w:rFonts w:ascii="Times New Roman" w:hAnsi="Times New Roman" w:eastAsia="Times New Roman"/>
                <w:b w:val="0"/>
                <w:i w:val="0"/>
                <w:sz w:val="24"/>
              </w:rPr>
              <w:t>…………………………… (1)</w:t>
            </w:r>
          </w:p>
          <w:p>
            <w:pPr>
              <w:spacing w:before="0" w:after="0" w:lineRule="auto" w:line="276"/>
              <w:jc w:val="center"/>
            </w:pPr>
            <w:r>
              <w:rPr>
                <w:rFonts w:ascii="Times New Roman" w:hAnsi="Times New Roman" w:eastAsia="Times New Roman"/>
                <w:b/>
                <w:i w:val="0"/>
                <w:sz w:val="24"/>
              </w:rPr>
              <w:t>…………………………… (2)</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………/QĐ-………(3)</w:t>
            </w:r>
          </w:p>
        </w:tc>
        <w:tc>
          <w:tcPr>
            <w:tcW w:type="dxa" w:w="5272"/>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6"/>
              </w:rPr>
              <w:t>Độc lập - Tự do - Hạnh phúc</w:t>
            </w:r>
          </w:p>
          <w:p>
            <w:pPr>
              <w:spacing w:before="0" w:after="0" w:lineRule="auto" w:line="276"/>
              <w:jc w:val="center"/>
            </w:pPr>
            <w:r>
              <w:rPr>
                <w:rFonts w:ascii="Times New Roman" w:hAnsi="Times New Roman" w:eastAsia="Times New Roman"/>
                <w:b w:val="0"/>
                <w:i w:val="0"/>
                <w:sz w:val="26"/>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6"/>
              </w:rPr>
              <w:t>…………,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QUYẾT ĐỊNH</w:t>
      </w:r>
    </w:p>
    <w:p>
      <w:pPr>
        <w:spacing w:before="0" w:after="0" w:lineRule="auto" w:line="312"/>
        <w:jc w:val="center"/>
      </w:pPr>
      <w:r>
        <w:rPr>
          <w:rFonts w:ascii="Times New Roman" w:hAnsi="Times New Roman" w:eastAsia="Times New Roman"/>
          <w:b/>
          <w:i w:val="0"/>
          <w:sz w:val="26"/>
        </w:rPr>
        <w:t>Tạm dừng kiểm tra chuyên ngành</w:t>
      </w:r>
    </w:p>
    <w:p>
      <w:pPr>
        <w:spacing w:before="0" w:after="40" w:lineRule="auto" w:line="312"/>
        <w:jc w:val="left"/>
      </w:pPr>
      <w:r>
        <w:rPr>
          <w:rFonts w:ascii="Times New Roman" w:hAnsi="Times New Roman" w:eastAsia="Times New Roman"/>
          <w:b w:val="0"/>
          <w:i w:val="0"/>
          <w:sz w:val="26"/>
        </w:rPr>
      </w:r>
    </w:p>
    <w:p>
      <w:pPr>
        <w:spacing w:before="0" w:after="80" w:lineRule="auto" w:line="312"/>
        <w:jc w:val="center"/>
      </w:pPr>
      <w:r>
        <w:rPr>
          <w:rFonts w:ascii="Times New Roman" w:hAnsi="Times New Roman" w:eastAsia="Times New Roman"/>
          <w:b/>
          <w:i w:val="0"/>
          <w:sz w:val="26"/>
        </w:rPr>
        <w:t>…………………………… (4)</w:t>
      </w:r>
    </w:p>
    <w:p>
      <w:pPr>
        <w:spacing w:before="0" w:after="0" w:lineRule="auto" w:line="312"/>
        <w:ind w:firstLine="567"/>
        <w:jc w:val="both"/>
      </w:pPr>
      <w:r>
        <w:rPr>
          <w:rFonts w:ascii="Times New Roman" w:hAnsi="Times New Roman" w:eastAsia="Times New Roman"/>
          <w:b w:val="0"/>
          <w:i w:val="0"/>
          <w:sz w:val="26"/>
        </w:rPr>
        <w:t>Căn cứ Nghị định số 217/2025/NĐ-CP ngày 05 tháng 8 năm 2025 của Chính phủ về hoạt động kiểm tra chuyên ngành;</w:t>
      </w:r>
    </w:p>
    <w:p>
      <w:pPr>
        <w:spacing w:before="0" w:after="0" w:lineRule="auto" w:line="312"/>
        <w:ind w:firstLine="567"/>
        <w:jc w:val="left"/>
      </w:pPr>
      <w:r>
        <w:rPr>
          <w:rFonts w:ascii="Times New Roman" w:hAnsi="Times New Roman" w:eastAsia="Times New Roman"/>
          <w:b w:val="0"/>
          <w:i w:val="0"/>
          <w:sz w:val="26"/>
        </w:rPr>
        <w:t>Căn cứ ……………………………………………………………………… (5);</w:t>
      </w:r>
    </w:p>
    <w:p>
      <w:pPr>
        <w:spacing w:before="0" w:after="0" w:lineRule="auto" w:line="312"/>
        <w:ind w:firstLine="567"/>
        <w:jc w:val="both"/>
      </w:pPr>
      <w:r>
        <w:rPr>
          <w:rFonts w:ascii="Times New Roman" w:hAnsi="Times New Roman" w:eastAsia="Times New Roman"/>
          <w:b w:val="0"/>
          <w:i w:val="0"/>
          <w:sz w:val="26"/>
        </w:rPr>
        <w:t>Căn cứ Quyết định số ………… ngày …… tháng …… năm ……… của ……………… về việc kiểm tra chuyên ngành ……………… (6);</w:t>
      </w:r>
    </w:p>
    <w:p>
      <w:pPr>
        <w:spacing w:before="0" w:after="0" w:lineRule="auto" w:line="312"/>
        <w:ind w:firstLine="567"/>
        <w:jc w:val="left"/>
      </w:pPr>
      <w:r>
        <w:rPr>
          <w:rFonts w:ascii="Times New Roman" w:hAnsi="Times New Roman" w:eastAsia="Times New Roman"/>
          <w:b w:val="0"/>
          <w:i w:val="0"/>
          <w:sz w:val="26"/>
        </w:rPr>
        <w:t>Xét đề nghị của Trưởng đoàn kiểm tra tại …………………………………… (7).</w:t>
      </w:r>
    </w:p>
    <w:p>
      <w:pPr>
        <w:spacing w:before="0" w:after="0" w:lineRule="auto" w:line="312"/>
        <w:jc w:val="center"/>
      </w:pPr>
      <w:r>
        <w:rPr>
          <w:rFonts w:ascii="Times New Roman" w:hAnsi="Times New Roman" w:eastAsia="Times New Roman"/>
          <w:b/>
          <w:i w:val="0"/>
          <w:sz w:val="26"/>
        </w:rPr>
        <w:t>QUYẾT ĐỊNH:</w:t>
      </w:r>
    </w:p>
    <w:p>
      <w:pPr>
        <w:spacing w:before="0" w:after="0" w:lineRule="auto" w:line="312"/>
        <w:ind w:firstLine="567"/>
        <w:jc w:val="both"/>
      </w:pPr>
      <w:r>
        <w:rPr>
          <w:rFonts w:ascii="Times New Roman" w:hAnsi="Times New Roman" w:eastAsia="Times New Roman"/>
          <w:b/>
          <w:i w:val="0"/>
          <w:sz w:val="26"/>
        </w:rPr>
        <w:t>Điều 1. Tạm dừng cuộc kiểm tra chuyên ngành theo Quyết định số ………… (6) đối với ……………… (8).</w:t>
      </w:r>
    </w:p>
    <w:p>
      <w:pPr>
        <w:spacing w:before="0" w:after="0" w:lineRule="auto" w:line="312"/>
        <w:jc w:val="left"/>
      </w:pPr>
      <w:r>
        <w:rPr>
          <w:rFonts w:ascii="Times New Roman" w:hAnsi="Times New Roman" w:eastAsia="Times New Roman"/>
          <w:b w:val="0"/>
          <w:i w:val="0"/>
          <w:sz w:val="26"/>
        </w:rPr>
        <w:t>- Lý do tạm dừng: ………………………………………………………………… (9);</w:t>
      </w:r>
    </w:p>
    <w:p>
      <w:pPr>
        <w:spacing w:before="0" w:after="0" w:lineRule="auto" w:line="312"/>
        <w:jc w:val="both"/>
      </w:pPr>
      <w:r>
        <w:rPr>
          <w:rFonts w:ascii="Times New Roman" w:hAnsi="Times New Roman" w:eastAsia="Times New Roman"/>
          <w:b w:val="0"/>
          <w:i w:val="0"/>
          <w:sz w:val="26"/>
        </w:rPr>
        <w:t>- Thời điểm tạm dừng: kể từ ngày …… tháng …… năm ………;</w:t>
      </w:r>
    </w:p>
    <w:p>
      <w:pPr>
        <w:spacing w:before="0" w:after="0" w:lineRule="auto" w:line="312"/>
        <w:jc w:val="both"/>
      </w:pPr>
      <w:r>
        <w:rPr>
          <w:rFonts w:ascii="Times New Roman" w:hAnsi="Times New Roman" w:eastAsia="Times New Roman"/>
          <w:b w:val="0"/>
          <w:i w:val="0"/>
          <w:sz w:val="26"/>
        </w:rPr>
        <w:t>- Thời gian tạm dừng là …… ngày, đến ngày …… tháng …… năm ……… hoặc cho đến khi người ra quyết định kiểm tra ban hành quyết định tiếp tục kiểm tra chuyên ngành (10).</w:t>
      </w:r>
    </w:p>
    <w:p>
      <w:pPr>
        <w:spacing w:before="0" w:after="0" w:lineRule="auto" w:line="312"/>
        <w:ind w:firstLine="567"/>
        <w:jc w:val="both"/>
      </w:pPr>
      <w:r>
        <w:rPr>
          <w:rFonts w:ascii="Times New Roman" w:hAnsi="Times New Roman" w:eastAsia="Times New Roman"/>
          <w:b w:val="0"/>
          <w:i w:val="0"/>
          <w:sz w:val="26"/>
        </w:rPr>
        <w:t>Việc tính thời hạn kiểm tra sau khi tiếp tục kiểm tra được thực hiện theo quy định của pháp luật; tổng thời gian tiến hành kiểm tra trên thực tế phải bảo đảm không vượt quá thời hạn kiểm tra quy định tại khoản 2 Điều 13 của Nghị định số 217/2025/NĐ-CP.</w:t>
      </w:r>
    </w:p>
    <w:p>
      <w:pPr>
        <w:spacing w:before="0" w:after="0" w:lineRule="auto" w:line="312"/>
        <w:ind w:firstLine="567"/>
        <w:jc w:val="both"/>
      </w:pPr>
      <w:r>
        <w:rPr>
          <w:rFonts w:ascii="Times New Roman" w:hAnsi="Times New Roman" w:eastAsia="Times New Roman"/>
          <w:b/>
          <w:i w:val="0"/>
          <w:sz w:val="26"/>
        </w:rPr>
        <w:t>Điều 2. Trong thời gian tạm dừng, Đoàn kiểm tra không tiến hành các hoạt động kiểm tra, xác minh đối với đối tượng kiểm tra và không yêu cầu đối tượng kiểm tra cung cấp thông tin, hồ sơ, tài liệu, dữ liệu, trừ trường hợp cần thiết để bảo quản, bảo toàn chứng cứ đã thu thập.</w:t>
      </w:r>
    </w:p>
    <w:p>
      <w:pPr>
        <w:spacing w:before="0" w:after="0" w:lineRule="auto" w:line="312"/>
        <w:ind w:firstLine="567"/>
        <w:jc w:val="both"/>
      </w:pPr>
      <w:r>
        <w:rPr>
          <w:rFonts w:ascii="Times New Roman" w:hAnsi="Times New Roman" w:eastAsia="Times New Roman"/>
          <w:b w:val="0"/>
          <w:i w:val="0"/>
          <w:sz w:val="26"/>
        </w:rPr>
        <w:t>Trưởng đoàn kiểm tra có trách nhiệm thông báo ngay cho đối tượng kiểm tra và các cơ quan, tổ chức, cá nhân có liên quan biết việc tạm dừng; quản lý chặt chẽ hồ sơ, tài liệu, dữ liệu đã thu thập, bảo đảm nguyên trạng; theo dõi diễn biến lý do tạm dừng và báo cáo người ra quyết định kiểm tra ngay khi lý do tạm dừng không còn để xem xét, quyết định tiếp tục kiểm tra chuyên ngành; trường hợp phát sinh căn cứ đình chỉ thì báo cáo người ra quyết định kiểm tra xem xét, quyết định đình chỉ cuộc kiểm tra.</w:t>
      </w:r>
    </w:p>
    <w:p>
      <w:pPr>
        <w:spacing w:before="0" w:after="0" w:lineRule="auto" w:line="312"/>
        <w:ind w:firstLine="567"/>
        <w:jc w:val="both"/>
      </w:pPr>
      <w:r>
        <w:rPr>
          <w:rFonts w:ascii="Times New Roman" w:hAnsi="Times New Roman" w:eastAsia="Times New Roman"/>
          <w:b/>
          <w:i w:val="0"/>
          <w:sz w:val="26"/>
        </w:rPr>
        <w:t>Điều 3. Quyết định này có hiệu lực kể từ ngày ký.</w:t>
      </w:r>
    </w:p>
    <w:p>
      <w:pPr>
        <w:spacing w:before="0" w:after="0" w:lineRule="auto" w:line="312"/>
        <w:ind w:firstLine="567"/>
        <w:jc w:val="both"/>
      </w:pPr>
      <w:r>
        <w:rPr>
          <w:rFonts w:ascii="Times New Roman" w:hAnsi="Times New Roman" w:eastAsia="Times New Roman"/>
          <w:b w:val="0"/>
          <w:i w:val="0"/>
          <w:sz w:val="26"/>
        </w:rPr>
        <w:t>Trưởng đoàn kiểm tra, thành viên Đoàn kiểm tra, ……………… (11), ……………… (12) và các cơ quan, tổ chức, cá nhân có liên quan chịu trách nhiệm thi hành Quyết định này./.</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Điều 3;</w:t>
            </w:r>
          </w:p>
          <w:p>
            <w:pPr>
              <w:spacing w:before="0" w:after="0" w:lineRule="auto" w:line="276"/>
              <w:jc w:val="left"/>
            </w:pPr>
            <w:r>
              <w:rPr>
                <w:rFonts w:ascii="Times New Roman" w:hAnsi="Times New Roman" w:eastAsia="Times New Roman"/>
                <w:b w:val="0"/>
                <w:i w:val="0"/>
                <w:sz w:val="22"/>
              </w:rPr>
              <w:t>- …………………… (1) (để báo cáo);</w:t>
            </w:r>
          </w:p>
          <w:p>
            <w:pPr>
              <w:spacing w:before="0" w:after="0" w:lineRule="auto" w:line="276"/>
              <w:jc w:val="left"/>
            </w:pPr>
            <w:r>
              <w:rPr>
                <w:rFonts w:ascii="Times New Roman" w:hAnsi="Times New Roman" w:eastAsia="Times New Roman"/>
                <w:b w:val="0"/>
                <w:i w:val="0"/>
                <w:sz w:val="22"/>
              </w:rPr>
              <w:t>- ……………………… (13);</w:t>
            </w:r>
          </w:p>
          <w:p>
            <w:pPr>
              <w:spacing w:before="0" w:after="0" w:lineRule="auto" w:line="276"/>
              <w:jc w:val="left"/>
            </w:pPr>
            <w:r>
              <w:rPr>
                <w:rFonts w:ascii="Times New Roman" w:hAnsi="Times New Roman" w:eastAsia="Times New Roman"/>
                <w:b w:val="0"/>
                <w:i w:val="0"/>
                <w:sz w:val="22"/>
              </w:rPr>
              <w:t>- Lưu: VT, ………(14), HSKT.</w:t>
            </w:r>
          </w:p>
        </w:tc>
        <w:tc>
          <w:tcPr>
            <w:tcW w:type="dxa" w:w="4819"/>
          </w:tcPr>
          <w:p>
            <w:pPr>
              <w:spacing w:before="0" w:after="0" w:lineRule="auto" w:line="276"/>
              <w:jc w:val="center"/>
            </w:pPr>
            <w:r>
              <w:rPr>
                <w:rFonts w:ascii="Times New Roman" w:hAnsi="Times New Roman" w:eastAsia="Times New Roman"/>
                <w:b/>
                <w:i w:val="0"/>
                <w:sz w:val="26"/>
              </w:rPr>
              <w:t>…………………………… (4)</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Tên cơ quan chủ quản trực tiếp của cơ quan, đơn vị ban hành quyết định (nếu có).</w:t>
      </w:r>
    </w:p>
    <w:p>
      <w:pPr>
        <w:spacing w:before="0" w:after="0" w:lineRule="auto" w:line="312"/>
        <w:jc w:val="both"/>
      </w:pPr>
      <w:r>
        <w:rPr>
          <w:rFonts w:ascii="Times New Roman" w:hAnsi="Times New Roman" w:eastAsia="Times New Roman"/>
          <w:b w:val="0"/>
          <w:i w:val="0"/>
          <w:sz w:val="22"/>
        </w:rPr>
        <w:t>(2) Tên cơ quan, đơn vị ban hành quyết định tạm dừng kiểm tra chuyên ngành (là cơ quan, đơn vị đã ban hành quyết định kiểm tra chuyên ngành); ghi bằng chữ in hoa, in đậm.</w:t>
      </w:r>
    </w:p>
    <w:p>
      <w:pPr>
        <w:spacing w:before="0" w:after="0" w:lineRule="auto" w:line="312"/>
        <w:jc w:val="both"/>
      </w:pPr>
      <w:r>
        <w:rPr>
          <w:rFonts w:ascii="Times New Roman" w:hAnsi="Times New Roman" w:eastAsia="Times New Roman"/>
          <w:b w:val="0"/>
          <w:i w:val="0"/>
          <w:sz w:val="22"/>
        </w:rPr>
        <w:t>(3) Chữ viết tắt tên cơ quan, đơn vị ban hành quyết định theo quy định về công tác văn thư. Ví dụ: Số: 137/QĐ-SNV.</w:t>
      </w:r>
    </w:p>
    <w:p>
      <w:pPr>
        <w:spacing w:before="0" w:after="0" w:lineRule="auto" w:line="312"/>
        <w:jc w:val="both"/>
      </w:pPr>
      <w:r>
        <w:rPr>
          <w:rFonts w:ascii="Times New Roman" w:hAnsi="Times New Roman" w:eastAsia="Times New Roman"/>
          <w:b w:val="0"/>
          <w:i w:val="0"/>
          <w:sz w:val="22"/>
        </w:rPr>
        <w:t>(4) Chức danh của người có thẩm quyền quyết định tạm dừng, đình chỉ kiểm tra chuyên ngành theo điểm đ khoản 2 Điều 7 của Nghị định số 217/2025/NĐ-CP, là người đứng đầu đơn vị có thẩm quyền kiểm tra chuyên ngành thuộc bộ, cơ quan ngang bộ hoặc người đứng đầu cơ quan chuyên môn thuộc Ủy ban nhân dân các cấp, đồng thời là người đã ban hành quyết định kiểm tra chuyên ngành; ghi bằng chữ in hoa, in đậm. Ví dụ: "GIÁM ĐỐC SỞ ……", "CỤC TRƯỞNG CỤC ……".</w:t>
      </w:r>
    </w:p>
    <w:p>
      <w:pPr>
        <w:spacing w:before="0" w:after="0" w:lineRule="auto" w:line="312"/>
        <w:jc w:val="both"/>
      </w:pPr>
      <w:r>
        <w:rPr>
          <w:rFonts w:ascii="Times New Roman" w:hAnsi="Times New Roman" w:eastAsia="Times New Roman"/>
          <w:b w:val="0"/>
          <w:i w:val="0"/>
          <w:sz w:val="22"/>
        </w:rPr>
        <w:t>(5) Văn bản quy định chức năng, nhiệm vụ, quyền hạn, cơ cấu tổ chức của cơ quan, đơn vị ban hành quyết định và văn bản quy phạm pháp luật chuyên ngành có liên quan (ghi rõ số, ký hiệu, ngày tháng năm, cơ quan ban hành, trích yếu).</w:t>
      </w:r>
    </w:p>
    <w:p>
      <w:pPr>
        <w:spacing w:before="0" w:after="0" w:lineRule="auto" w:line="312"/>
        <w:jc w:val="both"/>
      </w:pPr>
      <w:r>
        <w:rPr>
          <w:rFonts w:ascii="Times New Roman" w:hAnsi="Times New Roman" w:eastAsia="Times New Roman"/>
          <w:b w:val="0"/>
          <w:i w:val="0"/>
          <w:sz w:val="22"/>
        </w:rPr>
        <w:t>(6) Số, ngày tháng năm, cơ quan ban hành và trích yếu của quyết định kiểm tra chuyên ngành được tạm dừng; ghi thống nhất tại tất cả các vị trí có chỉ số này.</w:t>
      </w:r>
    </w:p>
    <w:p>
      <w:pPr>
        <w:spacing w:before="0" w:after="0" w:lineRule="auto" w:line="312"/>
        <w:jc w:val="both"/>
      </w:pPr>
      <w:r>
        <w:rPr>
          <w:rFonts w:ascii="Times New Roman" w:hAnsi="Times New Roman" w:eastAsia="Times New Roman"/>
          <w:b w:val="0"/>
          <w:i w:val="0"/>
          <w:sz w:val="22"/>
        </w:rPr>
        <w:t>(7) Văn bản đề nghị của Trưởng đoàn kiểm tra (báo cáo, tờ trình): ghi rõ số, ngày tháng năm hoặc ghi "Báo cáo ngày …/…/20… của Trưởng đoàn kiểm tra". Trường hợp việc tạm dừng do người ra quyết định kiểm tra chủ động quyết định thì thay dòng căn cứ này bằng nội dung nêu rõ cơ sở xem xét, quyết định.</w:t>
      </w:r>
    </w:p>
    <w:p>
      <w:pPr>
        <w:spacing w:before="0" w:after="0" w:lineRule="auto" w:line="312"/>
        <w:jc w:val="both"/>
      </w:pPr>
      <w:r>
        <w:rPr>
          <w:rFonts w:ascii="Times New Roman" w:hAnsi="Times New Roman" w:eastAsia="Times New Roman"/>
          <w:b w:val="0"/>
          <w:i w:val="0"/>
          <w:sz w:val="22"/>
        </w:rPr>
        <w:t>(8) Tên đầy đủ của tổ chức, cá nhân là đối tượng kiểm tra; địa chỉ trụ sở, địa điểm hoạt động. Trường hợp cuộc kiểm tra có nhiều đối tượng mà chỉ tạm dừng đối với một số đối tượng thì ghi rõ danh sách đối tượng bị tạm dừng.</w:t>
      </w:r>
    </w:p>
    <w:p>
      <w:pPr>
        <w:spacing w:before="0" w:after="0" w:lineRule="auto" w:line="312"/>
        <w:jc w:val="both"/>
      </w:pPr>
      <w:r>
        <w:rPr>
          <w:rFonts w:ascii="Times New Roman" w:hAnsi="Times New Roman" w:eastAsia="Times New Roman"/>
          <w:b w:val="0"/>
          <w:i w:val="0"/>
          <w:sz w:val="22"/>
        </w:rPr>
        <w:t>(9) Lý do tạm dừng: ghi rõ trường hợp bất khả kháng làm cho Đoàn kiểm tra không thể tiếp tục thực hiện việc kiểm tra chuyên ngành. Ví dụ: "thiên tai, dịch bệnh, hỏa hoạn xảy ra tại địa bàn kiểm tra"; "trụ sở, nơi lưu giữ hồ sơ, tài liệu của đối tượng kiểm tra bị thiệt hại do sự cố khách quan"; "người đại diện theo pháp luật của đối tượng kiểm tra và người được ủy quyền đều không thể làm việc vì lý do khách quan"; "hệ thống thông tin, cơ sở dữ liệu phục vụ kiểm tra trực tuyến, từ xa gặp sự cố kỹ thuật kéo dài". Chỉ tạm dừng khi lý do có thể khắc phục được; nếu lý do làm cuộc kiểm tra không thể tiếp tục thì ban hành quyết định đình chỉ.</w:t>
      </w:r>
    </w:p>
    <w:p>
      <w:pPr>
        <w:spacing w:before="0" w:after="0" w:lineRule="auto" w:line="312"/>
        <w:jc w:val="both"/>
      </w:pPr>
      <w:r>
        <w:rPr>
          <w:rFonts w:ascii="Times New Roman" w:hAnsi="Times New Roman" w:eastAsia="Times New Roman"/>
          <w:b w:val="0"/>
          <w:i w:val="0"/>
          <w:sz w:val="22"/>
        </w:rPr>
        <w:t>(10) Ghi số ngày tạm dừng dự kiến và ngày kết thúc dự kiến; trường hợp chưa xác định được thời điểm khắc phục thì chỉ ghi vế "cho đến khi người ra quyết định kiểm tra ban hành quyết định tiếp tục kiểm tra chuyên ngành" và bỏ phần ghi số ngày. Việc tiếp tục kiểm tra được thực hiện bằng quyết định riêng theo Mẫu KT-17.</w:t>
      </w:r>
    </w:p>
    <w:p>
      <w:pPr>
        <w:spacing w:before="0" w:after="0" w:lineRule="auto" w:line="312"/>
        <w:jc w:val="both"/>
      </w:pPr>
      <w:r>
        <w:rPr>
          <w:rFonts w:ascii="Times New Roman" w:hAnsi="Times New Roman" w:eastAsia="Times New Roman"/>
          <w:b w:val="0"/>
          <w:i w:val="0"/>
          <w:sz w:val="22"/>
        </w:rPr>
        <w:t>(11) Thủ trưởng cơ quan, tổ chức hoặc cá nhân là đối tượng kiểm tra.</w:t>
      </w:r>
    </w:p>
    <w:p>
      <w:pPr>
        <w:spacing w:before="0" w:after="0" w:lineRule="auto" w:line="312"/>
        <w:jc w:val="both"/>
      </w:pPr>
      <w:r>
        <w:rPr>
          <w:rFonts w:ascii="Times New Roman" w:hAnsi="Times New Roman" w:eastAsia="Times New Roman"/>
          <w:b w:val="0"/>
          <w:i w:val="0"/>
          <w:sz w:val="22"/>
        </w:rPr>
        <w:t>(12) Thủ trưởng cơ quan, đơn vị có liên quan đến việc tổ chức, thực hiện cuộc kiểm tra.</w:t>
      </w:r>
    </w:p>
    <w:p>
      <w:pPr>
        <w:spacing w:before="0" w:after="0" w:lineRule="auto" w:line="312"/>
        <w:jc w:val="both"/>
      </w:pPr>
      <w:r>
        <w:rPr>
          <w:rFonts w:ascii="Times New Roman" w:hAnsi="Times New Roman" w:eastAsia="Times New Roman"/>
          <w:b w:val="0"/>
          <w:i w:val="0"/>
          <w:sz w:val="22"/>
        </w:rPr>
        <w:t>(13) Cơ quan, tổ chức, cá nhân khác cần gửi để biết, phối hợp (nếu có).</w:t>
      </w:r>
    </w:p>
    <w:p>
      <w:pPr>
        <w:spacing w:before="0" w:after="0" w:lineRule="auto" w:line="312"/>
        <w:jc w:val="both"/>
      </w:pPr>
      <w:r>
        <w:rPr>
          <w:rFonts w:ascii="Times New Roman" w:hAnsi="Times New Roman" w:eastAsia="Times New Roman"/>
          <w:b w:val="0"/>
          <w:i w:val="0"/>
          <w:sz w:val="22"/>
        </w:rPr>
        <w:t>(14) Chữ viết tắt tên đơn vị soạn thảo và số lượng bản lưu (nếu cần); HSKT là hồ sơ kiểm tra.</w:t>
      </w:r>
    </w:p>
    <w:p>
      <w:pPr>
        <w:spacing w:before="0" w:after="0" w:lineRule="auto" w:line="312"/>
        <w:jc w:val="both"/>
      </w:pPr>
      <w:r>
        <w:rPr>
          <w:rFonts w:ascii="Times New Roman" w:hAnsi="Times New Roman" w:eastAsia="Times New Roman"/>
          <w:b w:val="0"/>
          <w:i w:val="0"/>
          <w:sz w:val="22"/>
        </w:rPr>
        <w:t>* Việc tạm dừng cuộc kiểm tra chuyên ngành thực hiện theo điểm đ khoản 2 Điều 7 của Nghị định số 217/2025/NĐ-CP trong trường hợp bất khả kháng mà không thể tiếp tục thực hiện kiểm tra chuyên ngành; thẩm quyền ban hành theo Điều 6 của Nghị định số 217/2025/NĐ-CP; thời hạn kiểm tra thực hiện theo khoản 2 Điều 13 của Nghị định số 217/2025/NĐ-CP; thể thức, kỹ thuật trình bày theo Nghị định số 30/2020/NĐ-CP.</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