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 (3)</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Về việc ban hành Kế hoạch kiểm tra chuyên đề …… (4)</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 (5)</w:t>
      </w:r>
    </w:p>
    <w:p>
      <w:pPr>
        <w:spacing w:before="0" w:after="0" w:lineRule="auto" w:line="312"/>
        <w:ind w:firstLine="567"/>
        <w:jc w:val="both"/>
      </w:pPr>
      <w:r>
        <w:rPr>
          <w:rFonts w:ascii="Times New Roman" w:hAnsi="Times New Roman" w:eastAsia="Times New Roman"/>
          <w:b w:val="0"/>
          <w:i w:val="0"/>
          <w:sz w:val="26"/>
        </w:rPr>
        <w:t>Căn cứ Nghị định số 217/2025/NĐ-CP ngày 05 tháng 8 năm 2025 của Chính phủ về hoạt động kiểm tra chuyên ngành;</w:t>
      </w:r>
    </w:p>
    <w:p>
      <w:pPr>
        <w:spacing w:before="0" w:after="0" w:lineRule="auto" w:line="312"/>
        <w:ind w:firstLine="567"/>
        <w:jc w:val="left"/>
      </w:pPr>
      <w:r>
        <w:rPr>
          <w:rFonts w:ascii="Times New Roman" w:hAnsi="Times New Roman" w:eastAsia="Times New Roman"/>
          <w:b w:val="0"/>
          <w:i w:val="0"/>
          <w:sz w:val="26"/>
        </w:rPr>
        <w:t>Căn cứ ……………………………………………………………………… (6);</w:t>
      </w:r>
    </w:p>
    <w:p>
      <w:pPr>
        <w:spacing w:before="0" w:after="0" w:lineRule="auto" w:line="312"/>
        <w:ind w:firstLine="567"/>
        <w:jc w:val="left"/>
      </w:pPr>
      <w:r>
        <w:rPr>
          <w:rFonts w:ascii="Times New Roman" w:hAnsi="Times New Roman" w:eastAsia="Times New Roman"/>
          <w:b w:val="0"/>
          <w:i w:val="0"/>
          <w:sz w:val="26"/>
        </w:rPr>
        <w:t>Căn cứ ……………………………………………………………………… (7);</w:t>
      </w:r>
    </w:p>
    <w:p>
      <w:pPr>
        <w:spacing w:before="0" w:after="0" w:lineRule="auto" w:line="312"/>
        <w:ind w:firstLine="567"/>
        <w:jc w:val="left"/>
      </w:pPr>
      <w:r>
        <w:rPr>
          <w:rFonts w:ascii="Times New Roman" w:hAnsi="Times New Roman" w:eastAsia="Times New Roman"/>
          <w:b w:val="0"/>
          <w:i w:val="0"/>
          <w:sz w:val="26"/>
        </w:rPr>
        <w:t>Xét đề xuất Kế hoạch kiểm tra chuyên đề tại ……………………………… (8);</w:t>
      </w:r>
    </w:p>
    <w:p>
      <w:pPr>
        <w:spacing w:before="0" w:after="0" w:lineRule="auto" w:line="312"/>
        <w:ind w:firstLine="567"/>
        <w:jc w:val="left"/>
      </w:pPr>
      <w:r>
        <w:rPr>
          <w:rFonts w:ascii="Times New Roman" w:hAnsi="Times New Roman" w:eastAsia="Times New Roman"/>
          <w:b w:val="0"/>
          <w:i w:val="0"/>
          <w:sz w:val="26"/>
        </w:rPr>
        <w:t>Theo đề nghị của …………………………………………………………… (9).</w:t>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ind w:firstLine="567"/>
        <w:jc w:val="both"/>
      </w:pPr>
      <w:r>
        <w:rPr>
          <w:rFonts w:ascii="Times New Roman" w:hAnsi="Times New Roman" w:eastAsia="Times New Roman"/>
          <w:b/>
          <w:i w:val="0"/>
          <w:sz w:val="26"/>
        </w:rPr>
        <w:t>Điều 1. Ban hành kèm theo Quyết định này Kế hoạch kiểm tra chuyên đề …… (4) của ……………… (2), gồm …… cuộc kiểm tra, cụ thể như sau:</w:t>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680"/>
        <w:gridCol w:w="2041"/>
        <w:gridCol w:w="2381"/>
        <w:gridCol w:w="1361"/>
        <w:gridCol w:w="1474"/>
        <w:gridCol w:w="1417"/>
      </w:tblGrid>
      <w:tr>
        <w:tc>
          <w:tcPr>
            <w:tcW w:type="dxa" w:w="680"/>
          </w:tcPr>
          <w:p>
            <w:pPr>
              <w:spacing w:before="0" w:after="0"/>
              <w:jc w:val="center"/>
            </w:pPr>
            <w:r>
              <w:rPr>
                <w:rFonts w:ascii="Times New Roman" w:hAnsi="Times New Roman" w:eastAsia="Times New Roman"/>
                <w:b/>
                <w:i w:val="0"/>
                <w:sz w:val="24"/>
              </w:rPr>
              <w:t>STT</w:t>
            </w:r>
          </w:p>
        </w:tc>
        <w:tc>
          <w:tcPr>
            <w:tcW w:type="dxa" w:w="2041"/>
          </w:tcPr>
          <w:p>
            <w:pPr>
              <w:spacing w:before="0" w:after="0"/>
              <w:jc w:val="center"/>
            </w:pPr>
            <w:r>
              <w:rPr>
                <w:rFonts w:ascii="Times New Roman" w:hAnsi="Times New Roman" w:eastAsia="Times New Roman"/>
                <w:b/>
                <w:i w:val="0"/>
                <w:sz w:val="24"/>
              </w:rPr>
              <w:t>Đối tượng kiểm tra (10)</w:t>
            </w:r>
          </w:p>
        </w:tc>
        <w:tc>
          <w:tcPr>
            <w:tcW w:type="dxa" w:w="2381"/>
          </w:tcPr>
          <w:p>
            <w:pPr>
              <w:spacing w:before="0" w:after="0"/>
              <w:jc w:val="center"/>
            </w:pPr>
            <w:r>
              <w:rPr>
                <w:rFonts w:ascii="Times New Roman" w:hAnsi="Times New Roman" w:eastAsia="Times New Roman"/>
                <w:b/>
                <w:i w:val="0"/>
                <w:sz w:val="24"/>
              </w:rPr>
              <w:t>Nội dung kiểm tra (11)</w:t>
            </w:r>
          </w:p>
        </w:tc>
        <w:tc>
          <w:tcPr>
            <w:tcW w:type="dxa" w:w="1361"/>
          </w:tcPr>
          <w:p>
            <w:pPr>
              <w:spacing w:before="0" w:after="0"/>
              <w:jc w:val="center"/>
            </w:pPr>
            <w:r>
              <w:rPr>
                <w:rFonts w:ascii="Times New Roman" w:hAnsi="Times New Roman" w:eastAsia="Times New Roman"/>
                <w:b/>
                <w:i w:val="0"/>
                <w:sz w:val="24"/>
              </w:rPr>
              <w:t>Thời gian dự kiến (12)</w:t>
            </w:r>
          </w:p>
        </w:tc>
        <w:tc>
          <w:tcPr>
            <w:tcW w:type="dxa" w:w="1474"/>
          </w:tcPr>
          <w:p>
            <w:pPr>
              <w:spacing w:before="0" w:after="0"/>
              <w:jc w:val="center"/>
            </w:pPr>
            <w:r>
              <w:rPr>
                <w:rFonts w:ascii="Times New Roman" w:hAnsi="Times New Roman" w:eastAsia="Times New Roman"/>
                <w:b/>
                <w:i w:val="0"/>
                <w:sz w:val="24"/>
              </w:rPr>
              <w:t>Đơn vị chủ trì</w:t>
            </w:r>
          </w:p>
        </w:tc>
        <w:tc>
          <w:tcPr>
            <w:tcW w:type="dxa" w:w="1417"/>
          </w:tcPr>
          <w:p>
            <w:pPr>
              <w:spacing w:before="0" w:after="0"/>
              <w:jc w:val="center"/>
            </w:pPr>
            <w:r>
              <w:rPr>
                <w:rFonts w:ascii="Times New Roman" w:hAnsi="Times New Roman" w:eastAsia="Times New Roman"/>
                <w:b/>
                <w:i w:val="0"/>
                <w:sz w:val="24"/>
              </w:rPr>
              <w:t>Đơn vị phối hợp</w:t>
            </w:r>
          </w:p>
        </w:tc>
      </w:tr>
      <w:tr>
        <w:tc>
          <w:tcPr>
            <w:tcW w:type="dxa" w:w="680"/>
          </w:tcPr>
          <w:p>
            <w:pPr>
              <w:spacing w:before="0" w:after="0"/>
              <w:jc w:val="left"/>
            </w:pPr>
            <w:r>
              <w:rPr>
                <w:rFonts w:ascii="Times New Roman" w:hAnsi="Times New Roman" w:eastAsia="Times New Roman"/>
                <w:b w:val="0"/>
                <w:i w:val="0"/>
                <w:sz w:val="24"/>
              </w:rPr>
              <w:t>1</w:t>
            </w:r>
          </w:p>
        </w:tc>
        <w:tc>
          <w:tcPr>
            <w:tcW w:type="dxa" w:w="2041"/>
          </w:tcPr>
          <w:p>
            <w:pPr>
              <w:spacing w:before="0" w:after="0"/>
              <w:jc w:val="left"/>
            </w:pPr>
            <w:r>
              <w:rPr>
                <w:rFonts w:ascii="Times New Roman" w:hAnsi="Times New Roman" w:eastAsia="Times New Roman"/>
                <w:b w:val="0"/>
                <w:i w:val="0"/>
                <w:sz w:val="24"/>
              </w:rPr>
            </w:r>
          </w:p>
        </w:tc>
        <w:tc>
          <w:tcPr>
            <w:tcW w:type="dxa" w:w="2381"/>
          </w:tcPr>
          <w:p>
            <w:pPr>
              <w:spacing w:before="0" w:after="0"/>
              <w:jc w:val="left"/>
            </w:pPr>
            <w:r>
              <w:rPr>
                <w:rFonts w:ascii="Times New Roman" w:hAnsi="Times New Roman" w:eastAsia="Times New Roman"/>
                <w:b w:val="0"/>
                <w:i w:val="0"/>
                <w:sz w:val="24"/>
              </w:rPr>
            </w:r>
          </w:p>
        </w:tc>
        <w:tc>
          <w:tcPr>
            <w:tcW w:type="dxa" w:w="1361"/>
          </w:tcPr>
          <w:p>
            <w:pPr>
              <w:spacing w:before="0" w:after="0"/>
              <w:jc w:val="left"/>
            </w:pPr>
            <w:r>
              <w:rPr>
                <w:rFonts w:ascii="Times New Roman" w:hAnsi="Times New Roman" w:eastAsia="Times New Roman"/>
                <w:b w:val="0"/>
                <w:i w:val="0"/>
                <w:sz w:val="24"/>
              </w:rPr>
            </w:r>
          </w:p>
        </w:tc>
        <w:tc>
          <w:tcPr>
            <w:tcW w:type="dxa" w:w="1474"/>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2</w:t>
            </w:r>
          </w:p>
        </w:tc>
        <w:tc>
          <w:tcPr>
            <w:tcW w:type="dxa" w:w="2041"/>
          </w:tcPr>
          <w:p>
            <w:pPr>
              <w:spacing w:before="0" w:after="0"/>
              <w:jc w:val="left"/>
            </w:pPr>
            <w:r>
              <w:rPr>
                <w:rFonts w:ascii="Times New Roman" w:hAnsi="Times New Roman" w:eastAsia="Times New Roman"/>
                <w:b w:val="0"/>
                <w:i w:val="0"/>
                <w:sz w:val="24"/>
              </w:rPr>
            </w:r>
          </w:p>
        </w:tc>
        <w:tc>
          <w:tcPr>
            <w:tcW w:type="dxa" w:w="2381"/>
          </w:tcPr>
          <w:p>
            <w:pPr>
              <w:spacing w:before="0" w:after="0"/>
              <w:jc w:val="left"/>
            </w:pPr>
            <w:r>
              <w:rPr>
                <w:rFonts w:ascii="Times New Roman" w:hAnsi="Times New Roman" w:eastAsia="Times New Roman"/>
                <w:b w:val="0"/>
                <w:i w:val="0"/>
                <w:sz w:val="24"/>
              </w:rPr>
            </w:r>
          </w:p>
        </w:tc>
        <w:tc>
          <w:tcPr>
            <w:tcW w:type="dxa" w:w="1361"/>
          </w:tcPr>
          <w:p>
            <w:pPr>
              <w:spacing w:before="0" w:after="0"/>
              <w:jc w:val="left"/>
            </w:pPr>
            <w:r>
              <w:rPr>
                <w:rFonts w:ascii="Times New Roman" w:hAnsi="Times New Roman" w:eastAsia="Times New Roman"/>
                <w:b w:val="0"/>
                <w:i w:val="0"/>
                <w:sz w:val="24"/>
              </w:rPr>
            </w:r>
          </w:p>
        </w:tc>
        <w:tc>
          <w:tcPr>
            <w:tcW w:type="dxa" w:w="1474"/>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3</w:t>
            </w:r>
          </w:p>
        </w:tc>
        <w:tc>
          <w:tcPr>
            <w:tcW w:type="dxa" w:w="2041"/>
          </w:tcPr>
          <w:p>
            <w:pPr>
              <w:spacing w:before="0" w:after="0"/>
              <w:jc w:val="left"/>
            </w:pPr>
            <w:r>
              <w:rPr>
                <w:rFonts w:ascii="Times New Roman" w:hAnsi="Times New Roman" w:eastAsia="Times New Roman"/>
                <w:b w:val="0"/>
                <w:i w:val="0"/>
                <w:sz w:val="24"/>
              </w:rPr>
            </w:r>
          </w:p>
        </w:tc>
        <w:tc>
          <w:tcPr>
            <w:tcW w:type="dxa" w:w="2381"/>
          </w:tcPr>
          <w:p>
            <w:pPr>
              <w:spacing w:before="0" w:after="0"/>
              <w:jc w:val="left"/>
            </w:pPr>
            <w:r>
              <w:rPr>
                <w:rFonts w:ascii="Times New Roman" w:hAnsi="Times New Roman" w:eastAsia="Times New Roman"/>
                <w:b w:val="0"/>
                <w:i w:val="0"/>
                <w:sz w:val="24"/>
              </w:rPr>
            </w:r>
          </w:p>
        </w:tc>
        <w:tc>
          <w:tcPr>
            <w:tcW w:type="dxa" w:w="1361"/>
          </w:tcPr>
          <w:p>
            <w:pPr>
              <w:spacing w:before="0" w:after="0"/>
              <w:jc w:val="left"/>
            </w:pPr>
            <w:r>
              <w:rPr>
                <w:rFonts w:ascii="Times New Roman" w:hAnsi="Times New Roman" w:eastAsia="Times New Roman"/>
                <w:b w:val="0"/>
                <w:i w:val="0"/>
                <w:sz w:val="24"/>
              </w:rPr>
            </w:r>
          </w:p>
        </w:tc>
        <w:tc>
          <w:tcPr>
            <w:tcW w:type="dxa" w:w="1474"/>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w:t>
            </w:r>
          </w:p>
        </w:tc>
        <w:tc>
          <w:tcPr>
            <w:tcW w:type="dxa" w:w="2041"/>
          </w:tcPr>
          <w:p>
            <w:pPr>
              <w:spacing w:before="0" w:after="0"/>
              <w:jc w:val="left"/>
            </w:pPr>
            <w:r>
              <w:rPr>
                <w:rFonts w:ascii="Times New Roman" w:hAnsi="Times New Roman" w:eastAsia="Times New Roman"/>
                <w:b w:val="0"/>
                <w:i w:val="0"/>
                <w:sz w:val="24"/>
              </w:rPr>
            </w:r>
          </w:p>
        </w:tc>
        <w:tc>
          <w:tcPr>
            <w:tcW w:type="dxa" w:w="2381"/>
          </w:tcPr>
          <w:p>
            <w:pPr>
              <w:spacing w:before="0" w:after="0"/>
              <w:jc w:val="left"/>
            </w:pPr>
            <w:r>
              <w:rPr>
                <w:rFonts w:ascii="Times New Roman" w:hAnsi="Times New Roman" w:eastAsia="Times New Roman"/>
                <w:b w:val="0"/>
                <w:i w:val="0"/>
                <w:sz w:val="24"/>
              </w:rPr>
            </w:r>
          </w:p>
        </w:tc>
        <w:tc>
          <w:tcPr>
            <w:tcW w:type="dxa" w:w="1361"/>
          </w:tcPr>
          <w:p>
            <w:pPr>
              <w:spacing w:before="0" w:after="0"/>
              <w:jc w:val="left"/>
            </w:pPr>
            <w:r>
              <w:rPr>
                <w:rFonts w:ascii="Times New Roman" w:hAnsi="Times New Roman" w:eastAsia="Times New Roman"/>
                <w:b w:val="0"/>
                <w:i w:val="0"/>
                <w:sz w:val="24"/>
              </w:rPr>
            </w:r>
          </w:p>
        </w:tc>
        <w:tc>
          <w:tcPr>
            <w:tcW w:type="dxa" w:w="1474"/>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bl>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Điều 2. Tổ chức thực hiện</w:t>
      </w:r>
    </w:p>
    <w:p>
      <w:pPr>
        <w:spacing w:before="0" w:after="0" w:lineRule="auto" w:line="312"/>
        <w:ind w:firstLine="567"/>
        <w:jc w:val="both"/>
      </w:pPr>
      <w:r>
        <w:rPr>
          <w:rFonts w:ascii="Times New Roman" w:hAnsi="Times New Roman" w:eastAsia="Times New Roman"/>
          <w:b w:val="0"/>
          <w:i w:val="0"/>
          <w:sz w:val="26"/>
        </w:rPr>
        <w:t>1. ……………… (9) chủ trì, theo dõi, đôn đốc, kiểm tra việc thực hiện Kế hoạch này; định kỳ tổng hợp, báo cáo kết quả thực hiện với ……………… (5).</w:t>
      </w:r>
    </w:p>
    <w:p>
      <w:pPr>
        <w:spacing w:before="0" w:after="0" w:lineRule="auto" w:line="312"/>
        <w:ind w:firstLine="567"/>
        <w:jc w:val="both"/>
      </w:pPr>
      <w:r>
        <w:rPr>
          <w:rFonts w:ascii="Times New Roman" w:hAnsi="Times New Roman" w:eastAsia="Times New Roman"/>
          <w:b w:val="0"/>
          <w:i w:val="0"/>
          <w:sz w:val="26"/>
        </w:rPr>
        <w:t>2. Đơn vị chủ trì kiểm tra có trách nhiệm trình người có thẩm quyền ban hành quyết định kiểm tra chuyên ngành đối với từng cuộc kiểm tra theo quy định tại Điều 11 của Nghị định số 217/2025/NĐ-CP; bố trí nhân lực, kinh phí và các điều kiện bảo đảm để thực hiện đúng tiến độ; ưu tiên áp dụng phương thức kiểm tra trực tuyến, từ xa dựa trên dữ liệu điện tử.</w:t>
      </w:r>
    </w:p>
    <w:p>
      <w:pPr>
        <w:spacing w:before="0" w:after="0" w:lineRule="auto" w:line="312"/>
        <w:ind w:firstLine="567"/>
        <w:jc w:val="both"/>
      </w:pPr>
      <w:r>
        <w:rPr>
          <w:rFonts w:ascii="Times New Roman" w:hAnsi="Times New Roman" w:eastAsia="Times New Roman"/>
          <w:b w:val="0"/>
          <w:i w:val="0"/>
          <w:sz w:val="26"/>
        </w:rPr>
        <w:t>3. Đơn vị phối hợp có trách nhiệm cử người tham gia, cung cấp thông tin, hồ sơ, tài liệu, dữ liệu theo đề nghị của đơn vị chủ trì kiểm tra.</w:t>
      </w:r>
    </w:p>
    <w:p>
      <w:pPr>
        <w:spacing w:before="0" w:after="0" w:lineRule="auto" w:line="312"/>
        <w:ind w:firstLine="567"/>
        <w:jc w:val="both"/>
      </w:pPr>
      <w:r>
        <w:rPr>
          <w:rFonts w:ascii="Times New Roman" w:hAnsi="Times New Roman" w:eastAsia="Times New Roman"/>
          <w:b w:val="0"/>
          <w:i w:val="0"/>
          <w:sz w:val="26"/>
        </w:rPr>
        <w:t>4. Trong quá trình thực hiện, nếu phát sinh chồng chéo, trùng lặp với hoạt động thanh tra, hoạt động kiểm toán nhà nước hoặc hoạt động kiểm tra chuyên ngành của cơ quan có thẩm quyền khác thì ……………… (9) báo cáo ……………… (5) để xử lý theo quy định.</w:t>
      </w:r>
    </w:p>
    <w:p>
      <w:pPr>
        <w:spacing w:before="0" w:after="0" w:lineRule="auto" w:line="312"/>
        <w:ind w:firstLine="567"/>
        <w:jc w:val="both"/>
      </w:pPr>
      <w:r>
        <w:rPr>
          <w:rFonts w:ascii="Times New Roman" w:hAnsi="Times New Roman" w:eastAsia="Times New Roman"/>
          <w:b w:val="0"/>
          <w:i w:val="0"/>
          <w:sz w:val="26"/>
        </w:rPr>
        <w:t>5. Việc điều chỉnh, bổ sung Kế hoạch này do ……………… (5) quyết định trên cơ sở đề nghị của ……………… (9).</w:t>
      </w:r>
    </w:p>
    <w:p>
      <w:pPr>
        <w:spacing w:before="0" w:after="0" w:lineRule="auto" w:line="312"/>
        <w:ind w:firstLine="567"/>
        <w:jc w:val="both"/>
      </w:pPr>
      <w:r>
        <w:rPr>
          <w:rFonts w:ascii="Times New Roman" w:hAnsi="Times New Roman" w:eastAsia="Times New Roman"/>
          <w:b/>
          <w:i w:val="0"/>
          <w:sz w:val="26"/>
        </w:rPr>
        <w:t>Điều 3. Quyết định này có hiệu lực kể từ ngày ký ban hành.</w:t>
      </w:r>
    </w:p>
    <w:p>
      <w:pPr>
        <w:spacing w:before="0" w:after="0" w:lineRule="auto" w:line="312"/>
        <w:ind w:firstLine="567"/>
        <w:jc w:val="both"/>
      </w:pPr>
      <w:r>
        <w:rPr>
          <w:rFonts w:ascii="Times New Roman" w:hAnsi="Times New Roman" w:eastAsia="Times New Roman"/>
          <w:b/>
          <w:i w:val="0"/>
          <w:sz w:val="26"/>
        </w:rPr>
        <w:t>Điều 4. ……………… (9), thủ trưởng các cơ quan, đơn vị chủ trì, phối hợp có tên tại Kế hoạch ban hành kèm theo Quyết định này và các cơ quan, đơn vị có liên quan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4;</w:t>
            </w:r>
          </w:p>
          <w:p>
            <w:pPr>
              <w:spacing w:before="0" w:after="0" w:lineRule="auto" w:line="276"/>
              <w:jc w:val="left"/>
            </w:pPr>
            <w:r>
              <w:rPr>
                <w:rFonts w:ascii="Times New Roman" w:hAnsi="Times New Roman" w:eastAsia="Times New Roman"/>
                <w:b w:val="0"/>
                <w:i w:val="0"/>
                <w:sz w:val="22"/>
              </w:rPr>
              <w:t>- …………………… (1) (để báo cáo);</w:t>
            </w:r>
          </w:p>
          <w:p>
            <w:pPr>
              <w:spacing w:before="0" w:after="0" w:lineRule="auto" w:line="276"/>
              <w:jc w:val="left"/>
            </w:pPr>
            <w:r>
              <w:rPr>
                <w:rFonts w:ascii="Times New Roman" w:hAnsi="Times New Roman" w:eastAsia="Times New Roman"/>
                <w:b w:val="0"/>
                <w:i w:val="0"/>
                <w:sz w:val="22"/>
              </w:rPr>
              <w:t>- …………………… (13) (để xử lý chồng chéo, trùng lặp);</w:t>
            </w:r>
          </w:p>
          <w:p>
            <w:pPr>
              <w:spacing w:before="0" w:after="0" w:lineRule="auto" w:line="276"/>
              <w:jc w:val="left"/>
            </w:pPr>
            <w:r>
              <w:rPr>
                <w:rFonts w:ascii="Times New Roman" w:hAnsi="Times New Roman" w:eastAsia="Times New Roman"/>
                <w:b w:val="0"/>
                <w:i w:val="0"/>
                <w:sz w:val="22"/>
              </w:rPr>
              <w:t>- …………………… (14);</w:t>
            </w:r>
          </w:p>
          <w:p>
            <w:pPr>
              <w:spacing w:before="0" w:after="0" w:lineRule="auto" w:line="276"/>
              <w:jc w:val="left"/>
            </w:pPr>
            <w:r>
              <w:rPr>
                <w:rFonts w:ascii="Times New Roman" w:hAnsi="Times New Roman" w:eastAsia="Times New Roman"/>
                <w:b w:val="0"/>
                <w:i w:val="0"/>
                <w:sz w:val="22"/>
              </w:rPr>
              <w:t>- Lưu: VT, ……(15).</w:t>
            </w:r>
          </w:p>
        </w:tc>
        <w:tc>
          <w:tcPr>
            <w:tcW w:type="dxa" w:w="4819"/>
          </w:tcPr>
          <w:p>
            <w:pPr>
              <w:spacing w:before="0" w:after="0" w:lineRule="auto" w:line="276"/>
              <w:jc w:val="center"/>
            </w:pPr>
            <w:r>
              <w:rPr>
                <w:rFonts w:ascii="Times New Roman" w:hAnsi="Times New Roman" w:eastAsia="Times New Roman"/>
                <w:b/>
                <w:i w:val="0"/>
                <w:sz w:val="26"/>
              </w:rPr>
              <w:t>………………………… (5)</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chủ quản trực tiếp của cơ quan, đơn vị ban hành Quyết định (nếu có).</w:t>
      </w:r>
    </w:p>
    <w:p>
      <w:pPr>
        <w:spacing w:before="0" w:after="0" w:lineRule="auto" w:line="312"/>
        <w:jc w:val="both"/>
      </w:pPr>
      <w:r>
        <w:rPr>
          <w:rFonts w:ascii="Times New Roman" w:hAnsi="Times New Roman" w:eastAsia="Times New Roman"/>
          <w:b w:val="0"/>
          <w:i w:val="0"/>
          <w:sz w:val="22"/>
        </w:rPr>
        <w:t>(2) Tên cơ quan, đơn vị ban hành Quyết định ban hành Kế hoạch kiểm tra chuyên đề; ghi bằng chữ in hoa, in đậm.</w:t>
      </w:r>
    </w:p>
    <w:p>
      <w:pPr>
        <w:spacing w:before="0" w:after="0" w:lineRule="auto" w:line="312"/>
        <w:jc w:val="both"/>
      </w:pPr>
      <w:r>
        <w:rPr>
          <w:rFonts w:ascii="Times New Roman" w:hAnsi="Times New Roman" w:eastAsia="Times New Roman"/>
          <w:b w:val="0"/>
          <w:i w:val="0"/>
          <w:sz w:val="22"/>
        </w:rPr>
        <w:t>(3) Chữ viết tắt tên cơ quan, đơn vị ban hành Quyết định. Ví dụ: Số: 45/QĐ-SNV.</w:t>
      </w:r>
    </w:p>
    <w:p>
      <w:pPr>
        <w:spacing w:before="0" w:after="0" w:lineRule="auto" w:line="312"/>
        <w:jc w:val="both"/>
      </w:pPr>
      <w:r>
        <w:rPr>
          <w:rFonts w:ascii="Times New Roman" w:hAnsi="Times New Roman" w:eastAsia="Times New Roman"/>
          <w:b w:val="0"/>
          <w:i w:val="0"/>
          <w:sz w:val="22"/>
        </w:rPr>
        <w:t>(4) Kỳ kế hoạch kiểm tra chuyên đề. Ví dụ: năm 2026.</w:t>
      </w:r>
    </w:p>
    <w:p>
      <w:pPr>
        <w:spacing w:before="0" w:after="0" w:lineRule="auto" w:line="312"/>
        <w:jc w:val="both"/>
      </w:pPr>
      <w:r>
        <w:rPr>
          <w:rFonts w:ascii="Times New Roman" w:hAnsi="Times New Roman" w:eastAsia="Times New Roman"/>
          <w:b w:val="0"/>
          <w:i w:val="0"/>
          <w:sz w:val="22"/>
        </w:rPr>
        <w:t>(5) Chức danh của người ban hành Quyết định theo thẩm quyền quy định tại Điều 6 của Nghị định số 217/2025/NĐ-CP; ghi bằng chữ in hoa, in đậm. Ví dụ: GIÁM ĐỐC SỞ ……</w:t>
      </w:r>
    </w:p>
    <w:p>
      <w:pPr>
        <w:spacing w:before="0" w:after="0" w:lineRule="auto" w:line="312"/>
        <w:jc w:val="both"/>
      </w:pPr>
      <w:r>
        <w:rPr>
          <w:rFonts w:ascii="Times New Roman" w:hAnsi="Times New Roman" w:eastAsia="Times New Roman"/>
          <w:b w:val="0"/>
          <w:i w:val="0"/>
          <w:sz w:val="22"/>
        </w:rPr>
        <w:t>(6) Văn bản quy định chức năng, nhiệm vụ, quyền hạn và cơ cấu tổ chức của cơ quan, đơn vị ban hành Quyết định.</w:t>
      </w:r>
    </w:p>
    <w:p>
      <w:pPr>
        <w:spacing w:before="0" w:after="0" w:lineRule="auto" w:line="312"/>
        <w:jc w:val="both"/>
      </w:pPr>
      <w:r>
        <w:rPr>
          <w:rFonts w:ascii="Times New Roman" w:hAnsi="Times New Roman" w:eastAsia="Times New Roman"/>
          <w:b w:val="0"/>
          <w:i w:val="0"/>
          <w:sz w:val="22"/>
        </w:rPr>
        <w:t>(7) Văn bản quy phạm pháp luật chuyên ngành về lĩnh vực kiểm tra; trường hợp có nhiều văn bản thì ghi lần lượt từng văn bản trên các dòng riêng.</w:t>
      </w:r>
    </w:p>
    <w:p>
      <w:pPr>
        <w:spacing w:before="0" w:after="0" w:lineRule="auto" w:line="312"/>
        <w:jc w:val="both"/>
      </w:pPr>
      <w:r>
        <w:rPr>
          <w:rFonts w:ascii="Times New Roman" w:hAnsi="Times New Roman" w:eastAsia="Times New Roman"/>
          <w:b w:val="0"/>
          <w:i w:val="0"/>
          <w:sz w:val="22"/>
        </w:rPr>
        <w:t>(8) Số, ký hiệu, ngày tháng năm và tên cơ quan, đơn vị ban hành văn bản đề xuất Kế hoạch kiểm tra chuyên đề (Mẫu KT-01).</w:t>
      </w:r>
    </w:p>
    <w:p>
      <w:pPr>
        <w:spacing w:before="0" w:after="0" w:lineRule="auto" w:line="312"/>
        <w:jc w:val="both"/>
      </w:pPr>
      <w:r>
        <w:rPr>
          <w:rFonts w:ascii="Times New Roman" w:hAnsi="Times New Roman" w:eastAsia="Times New Roman"/>
          <w:b w:val="0"/>
          <w:i w:val="0"/>
          <w:sz w:val="22"/>
        </w:rPr>
        <w:t>(9) Tên cơ quan, đơn vị được giao tham mưu, tổng hợp và theo dõi việc thực hiện Kế hoạch kiểm tra chuyên đề.</w:t>
      </w:r>
    </w:p>
    <w:p>
      <w:pPr>
        <w:spacing w:before="0" w:after="0" w:lineRule="auto" w:line="312"/>
        <w:jc w:val="both"/>
      </w:pPr>
      <w:r>
        <w:rPr>
          <w:rFonts w:ascii="Times New Roman" w:hAnsi="Times New Roman" w:eastAsia="Times New Roman"/>
          <w:b w:val="0"/>
          <w:i w:val="0"/>
          <w:sz w:val="22"/>
        </w:rPr>
        <w:t>(10) Ghi tên đầy đủ của tổ chức, cá nhân là đối tượng kiểm tra; địa chỉ trụ sở, địa điểm hoạt động; mã số doanh nghiệp, mã số thuế hoặc mã số quản lý khác (nếu có).</w:t>
      </w:r>
    </w:p>
    <w:p>
      <w:pPr>
        <w:spacing w:before="0" w:after="0" w:lineRule="auto" w:line="312"/>
        <w:jc w:val="both"/>
      </w:pPr>
      <w:r>
        <w:rPr>
          <w:rFonts w:ascii="Times New Roman" w:hAnsi="Times New Roman" w:eastAsia="Times New Roman"/>
          <w:b w:val="0"/>
          <w:i w:val="0"/>
          <w:sz w:val="22"/>
        </w:rPr>
        <w:t>(11) Ghi rõ tên chuyên đề, phạm vi và nội dung kiểm tra; thời kỳ kiểm tra (nếu có).</w:t>
      </w:r>
    </w:p>
    <w:p>
      <w:pPr>
        <w:spacing w:before="0" w:after="0" w:lineRule="auto" w:line="312"/>
        <w:jc w:val="both"/>
      </w:pPr>
      <w:r>
        <w:rPr>
          <w:rFonts w:ascii="Times New Roman" w:hAnsi="Times New Roman" w:eastAsia="Times New Roman"/>
          <w:b w:val="0"/>
          <w:i w:val="0"/>
          <w:sz w:val="22"/>
        </w:rPr>
        <w:t>(12) Ghi thời gian dự kiến tiến hành kiểm tra theo quý hoặc theo tháng. Ví dụ: Quý III năm 2026.</w:t>
      </w:r>
    </w:p>
    <w:p>
      <w:pPr>
        <w:spacing w:before="0" w:after="0" w:lineRule="auto" w:line="312"/>
        <w:jc w:val="both"/>
      </w:pPr>
      <w:r>
        <w:rPr>
          <w:rFonts w:ascii="Times New Roman" w:hAnsi="Times New Roman" w:eastAsia="Times New Roman"/>
          <w:b w:val="0"/>
          <w:i w:val="0"/>
          <w:sz w:val="22"/>
        </w:rPr>
        <w:t>(13) Thanh tra Chính phủ và cơ quan thanh tra có liên quan đối với Kế hoạch kiểm tra chuyên đề của bộ, cơ quan ngang bộ, của Ủy ban nhân dân tỉnh, thành phố; Thanh tra tỉnh, thành phố và cơ quan thanh tra có liên quan đối với Kế hoạch kiểm tra chuyên đề của Ủy ban nhân dân cấp xã, của cơ quan chuyên môn thuộc Ủy ban nhân dân tỉnh, thành phố.</w:t>
      </w:r>
    </w:p>
    <w:p>
      <w:pPr>
        <w:spacing w:before="0" w:after="0" w:lineRule="auto" w:line="312"/>
        <w:jc w:val="both"/>
      </w:pPr>
      <w:r>
        <w:rPr>
          <w:rFonts w:ascii="Times New Roman" w:hAnsi="Times New Roman" w:eastAsia="Times New Roman"/>
          <w:b w:val="0"/>
          <w:i w:val="0"/>
          <w:sz w:val="22"/>
        </w:rPr>
        <w:t>(14) Cơ quan, tổ chức, đơn vị khác cần gửi để phối hợp hoặc để biết (nếu có).</w:t>
      </w:r>
    </w:p>
    <w:p>
      <w:pPr>
        <w:spacing w:before="0" w:after="0" w:lineRule="auto" w:line="312"/>
        <w:jc w:val="both"/>
      </w:pPr>
      <w:r>
        <w:rPr>
          <w:rFonts w:ascii="Times New Roman" w:hAnsi="Times New Roman" w:eastAsia="Times New Roman"/>
          <w:b w:val="0"/>
          <w:i w:val="0"/>
          <w:sz w:val="22"/>
        </w:rPr>
        <w:t>(15) Chữ viết tắt tên đơn vị soạn thảo và số lượng bản lưu (nếu cần).</w:t>
      </w:r>
    </w:p>
    <w:p>
      <w:pPr>
        <w:spacing w:before="0" w:after="0" w:lineRule="auto" w:line="312"/>
        <w:jc w:val="both"/>
      </w:pPr>
      <w:r>
        <w:rPr>
          <w:rFonts w:ascii="Times New Roman" w:hAnsi="Times New Roman" w:eastAsia="Times New Roman"/>
          <w:b w:val="0"/>
          <w:i w:val="0"/>
          <w:sz w:val="22"/>
        </w:rPr>
        <w:t>* Biểu mẫu này được sử dụng theo quy định tại điểm a khoản 2 Điều 7 của Nghị định số 217/2025/NĐ-CP; Kế hoạch kiểm tra chuyên đề là một trong các căn cứ ban hành quyết định kiểm tra chuyên ngành theo điểm c khoản 2 Điều 11 của Nghị định số 217/2025/NĐ-CP. Trường hợp danh mục các cuộc kiểm tra có nhiều nội dung, có thể tách thành Phụ lục ban hành kèm theo Quyết định; khi đó Điều 1 ghi "(Phụ lục kèm theo)" và Phụ lục được trình bày trên trang riêng, sau phần chữ ký của Quyết định, giữ nguyên các cột của bảng nêu trên.</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